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F20123" w14:textId="77777777" w:rsidR="00D979D6" w:rsidRDefault="00D979D6" w:rsidP="00D979D6">
      <w:hyperlink r:id="rId9" w:tgtFrame="_blank" w:tooltip="Persistent link using digital object identifier" w:history="1">
        <w:r>
          <w:rPr>
            <w:rStyle w:val="Collegamentoipertestuale"/>
          </w:rPr>
          <w:t>10.1016/j.addr.2016.05.008</w:t>
        </w:r>
      </w:hyperlink>
    </w:p>
    <w:p w14:paraId="7FACCD22" w14:textId="77777777" w:rsidR="00D979D6" w:rsidRDefault="00D979D6" w:rsidP="00341D07">
      <w:pPr>
        <w:spacing w:after="0" w:line="360" w:lineRule="auto"/>
        <w:jc w:val="center"/>
        <w:rPr>
          <w:rFonts w:cs="Arial"/>
          <w:b/>
          <w:color w:val="000000"/>
          <w:sz w:val="24"/>
          <w:szCs w:val="24"/>
          <w:shd w:val="clear" w:color="auto" w:fill="FFFFFF"/>
          <w:lang w:val="en-US"/>
        </w:rPr>
      </w:pPr>
    </w:p>
    <w:p w14:paraId="28A905B7" w14:textId="564DBF32" w:rsidR="00341D07" w:rsidRPr="0034426D" w:rsidRDefault="00286B68" w:rsidP="00341D07">
      <w:pPr>
        <w:spacing w:after="0" w:line="360" w:lineRule="auto"/>
        <w:jc w:val="center"/>
        <w:rPr>
          <w:rFonts w:cs="Arial"/>
          <w:b/>
          <w:color w:val="000000"/>
          <w:sz w:val="24"/>
          <w:szCs w:val="24"/>
          <w:shd w:val="clear" w:color="auto" w:fill="FFFFFF"/>
          <w:lang w:val="en-US"/>
        </w:rPr>
      </w:pPr>
      <w:r w:rsidRPr="00286B68">
        <w:rPr>
          <w:rFonts w:cs="Arial"/>
          <w:b/>
          <w:color w:val="000000"/>
          <w:sz w:val="24"/>
          <w:szCs w:val="24"/>
          <w:shd w:val="clear" w:color="auto" w:fill="FFFFFF"/>
          <w:lang w:val="en-US"/>
        </w:rPr>
        <w:t>Engineering erythrocytes for the modulation of drugs’ and contrasting agents’ pharmacokinetics and biodistribution</w:t>
      </w:r>
    </w:p>
    <w:p w14:paraId="774D09E7" w14:textId="77777777" w:rsidR="004123ED" w:rsidRPr="0034426D" w:rsidRDefault="004123ED" w:rsidP="004123ED">
      <w:pPr>
        <w:jc w:val="center"/>
        <w:rPr>
          <w:b/>
          <w:sz w:val="24"/>
          <w:szCs w:val="24"/>
          <w:lang w:val="en-US"/>
        </w:rPr>
      </w:pPr>
    </w:p>
    <w:p w14:paraId="6181ED9C" w14:textId="77777777" w:rsidR="00A130AA" w:rsidRDefault="008D6DF9" w:rsidP="00B13B99">
      <w:pPr>
        <w:jc w:val="center"/>
        <w:rPr>
          <w:sz w:val="24"/>
          <w:szCs w:val="24"/>
        </w:rPr>
      </w:pPr>
      <w:r w:rsidRPr="0034426D">
        <w:rPr>
          <w:sz w:val="24"/>
          <w:szCs w:val="24"/>
        </w:rPr>
        <w:t>Luigia Rossi</w:t>
      </w:r>
      <w:r w:rsidR="00C44B3D" w:rsidRPr="00C44B3D">
        <w:rPr>
          <w:sz w:val="24"/>
          <w:szCs w:val="24"/>
          <w:vertAlign w:val="superscript"/>
        </w:rPr>
        <w:t>1,2</w:t>
      </w:r>
      <w:r w:rsidRPr="0034426D">
        <w:rPr>
          <w:sz w:val="24"/>
          <w:szCs w:val="24"/>
        </w:rPr>
        <w:t>, Francesca Pierigè</w:t>
      </w:r>
      <w:r w:rsidR="00C44B3D" w:rsidRPr="00C44B3D">
        <w:rPr>
          <w:sz w:val="24"/>
          <w:szCs w:val="24"/>
          <w:vertAlign w:val="superscript"/>
        </w:rPr>
        <w:t>1</w:t>
      </w:r>
      <w:r w:rsidRPr="0034426D">
        <w:rPr>
          <w:sz w:val="24"/>
          <w:szCs w:val="24"/>
        </w:rPr>
        <w:t>, Antonella Antonelli</w:t>
      </w:r>
      <w:r w:rsidR="00C44B3D" w:rsidRPr="00C44B3D">
        <w:rPr>
          <w:sz w:val="24"/>
          <w:szCs w:val="24"/>
          <w:vertAlign w:val="superscript"/>
        </w:rPr>
        <w:t>1</w:t>
      </w:r>
      <w:r w:rsidRPr="0034426D">
        <w:rPr>
          <w:sz w:val="24"/>
          <w:szCs w:val="24"/>
        </w:rPr>
        <w:t>, Noemi Bigini</w:t>
      </w:r>
      <w:r w:rsidR="00C44B3D" w:rsidRPr="00C44B3D">
        <w:rPr>
          <w:sz w:val="24"/>
          <w:szCs w:val="24"/>
          <w:vertAlign w:val="superscript"/>
        </w:rPr>
        <w:t>1</w:t>
      </w:r>
      <w:r w:rsidRPr="0034426D">
        <w:rPr>
          <w:sz w:val="24"/>
          <w:szCs w:val="24"/>
        </w:rPr>
        <w:t>, Claudia Gabucci</w:t>
      </w:r>
      <w:r w:rsidR="00C44B3D" w:rsidRPr="00C44B3D">
        <w:rPr>
          <w:sz w:val="24"/>
          <w:szCs w:val="24"/>
          <w:vertAlign w:val="superscript"/>
        </w:rPr>
        <w:t>1</w:t>
      </w:r>
      <w:r w:rsidRPr="0034426D">
        <w:rPr>
          <w:sz w:val="24"/>
          <w:szCs w:val="24"/>
        </w:rPr>
        <w:t>, Enrico Peiretti</w:t>
      </w:r>
      <w:r w:rsidR="00C44B3D" w:rsidRPr="00C44B3D">
        <w:rPr>
          <w:sz w:val="24"/>
          <w:szCs w:val="24"/>
          <w:vertAlign w:val="superscript"/>
        </w:rPr>
        <w:t>3</w:t>
      </w:r>
      <w:r w:rsidRPr="0034426D">
        <w:rPr>
          <w:sz w:val="24"/>
          <w:szCs w:val="24"/>
        </w:rPr>
        <w:t xml:space="preserve"> and Mauro Magnani</w:t>
      </w:r>
      <w:r w:rsidR="00C44B3D" w:rsidRPr="00C44B3D">
        <w:rPr>
          <w:sz w:val="24"/>
          <w:szCs w:val="24"/>
          <w:vertAlign w:val="superscript"/>
        </w:rPr>
        <w:t>1,2</w:t>
      </w:r>
    </w:p>
    <w:p w14:paraId="50855BE7" w14:textId="77777777" w:rsidR="00C44B3D" w:rsidRDefault="00C44B3D" w:rsidP="00AD1B7B">
      <w:pPr>
        <w:spacing w:after="0"/>
        <w:jc w:val="both"/>
        <w:rPr>
          <w:rFonts w:cs="Arial"/>
          <w:color w:val="000000"/>
          <w:sz w:val="24"/>
          <w:szCs w:val="24"/>
          <w:shd w:val="clear" w:color="auto" w:fill="FFFFFF"/>
          <w:lang w:val="en-US"/>
        </w:rPr>
      </w:pPr>
      <w:r w:rsidRPr="00C44B3D">
        <w:rPr>
          <w:rFonts w:cs="Arial"/>
          <w:color w:val="000000"/>
          <w:sz w:val="24"/>
          <w:szCs w:val="24"/>
          <w:shd w:val="clear" w:color="auto" w:fill="FFFFFF"/>
          <w:vertAlign w:val="superscript"/>
          <w:lang w:val="en-US"/>
        </w:rPr>
        <w:t>1</w:t>
      </w:r>
      <w:r w:rsidRPr="00C44B3D">
        <w:rPr>
          <w:rFonts w:cs="Arial"/>
          <w:color w:val="000000"/>
          <w:sz w:val="24"/>
          <w:szCs w:val="24"/>
          <w:shd w:val="clear" w:color="auto" w:fill="FFFFFF"/>
          <w:lang w:val="en-US"/>
        </w:rPr>
        <w:t xml:space="preserve">Department of </w:t>
      </w:r>
      <w:r>
        <w:rPr>
          <w:rFonts w:cs="Arial"/>
          <w:color w:val="000000"/>
          <w:sz w:val="24"/>
          <w:szCs w:val="24"/>
          <w:shd w:val="clear" w:color="auto" w:fill="FFFFFF"/>
          <w:lang w:val="en-US"/>
        </w:rPr>
        <w:t>B</w:t>
      </w:r>
      <w:r w:rsidRPr="00C44B3D">
        <w:rPr>
          <w:rFonts w:cs="Arial"/>
          <w:color w:val="000000"/>
          <w:sz w:val="24"/>
          <w:szCs w:val="24"/>
          <w:shd w:val="clear" w:color="auto" w:fill="FFFFFF"/>
          <w:lang w:val="en-US"/>
        </w:rPr>
        <w:t>iomolecular Sciences, U</w:t>
      </w:r>
      <w:r>
        <w:rPr>
          <w:rFonts w:cs="Arial"/>
          <w:color w:val="000000"/>
          <w:sz w:val="24"/>
          <w:szCs w:val="24"/>
          <w:shd w:val="clear" w:color="auto" w:fill="FFFFFF"/>
          <w:lang w:val="en-US"/>
        </w:rPr>
        <w:t>niversity of Urbino, Urbino, PU, Italy</w:t>
      </w:r>
    </w:p>
    <w:p w14:paraId="19B6297C" w14:textId="77777777" w:rsidR="00C44B3D" w:rsidRPr="00C44B3D" w:rsidRDefault="00C44B3D" w:rsidP="00C44B3D">
      <w:pPr>
        <w:jc w:val="both"/>
        <w:rPr>
          <w:rFonts w:cs="Arial"/>
          <w:color w:val="000000"/>
          <w:sz w:val="24"/>
          <w:szCs w:val="24"/>
          <w:shd w:val="clear" w:color="auto" w:fill="FFFFFF"/>
          <w:lang w:val="en-US"/>
        </w:rPr>
      </w:pPr>
      <w:r w:rsidRPr="00C44B3D">
        <w:rPr>
          <w:rFonts w:cs="Arial"/>
          <w:color w:val="000000"/>
          <w:sz w:val="24"/>
          <w:szCs w:val="24"/>
          <w:shd w:val="clear" w:color="auto" w:fill="FFFFFF"/>
          <w:vertAlign w:val="superscript"/>
          <w:lang w:val="en-US"/>
        </w:rPr>
        <w:t>3</w:t>
      </w:r>
      <w:r w:rsidRPr="00C44B3D">
        <w:rPr>
          <w:rFonts w:cs="Arial"/>
          <w:color w:val="000000"/>
          <w:sz w:val="24"/>
          <w:szCs w:val="24"/>
          <w:shd w:val="clear" w:color="auto" w:fill="FFFFFF"/>
          <w:lang w:val="en-US"/>
        </w:rPr>
        <w:t xml:space="preserve">Department of Surgical Sciences, </w:t>
      </w:r>
      <w:r>
        <w:rPr>
          <w:rFonts w:cs="Arial"/>
          <w:color w:val="000000"/>
          <w:sz w:val="24"/>
          <w:szCs w:val="24"/>
          <w:shd w:val="clear" w:color="auto" w:fill="FFFFFF"/>
          <w:lang w:val="en-US"/>
        </w:rPr>
        <w:t>University of Cagliari, Cagliari, CA, Italy</w:t>
      </w:r>
    </w:p>
    <w:p w14:paraId="7C624BDD" w14:textId="77777777" w:rsidR="00275BC5" w:rsidRPr="00C44B3D" w:rsidRDefault="00275BC5" w:rsidP="00341D07">
      <w:pPr>
        <w:autoSpaceDE w:val="0"/>
        <w:autoSpaceDN w:val="0"/>
        <w:adjustRightInd w:val="0"/>
        <w:spacing w:after="0" w:line="360" w:lineRule="auto"/>
        <w:jc w:val="both"/>
        <w:rPr>
          <w:rFonts w:cs="Arial"/>
          <w:b/>
          <w:color w:val="000000" w:themeColor="text1"/>
          <w:sz w:val="24"/>
          <w:szCs w:val="24"/>
          <w:shd w:val="clear" w:color="auto" w:fill="FFFFFF"/>
          <w:lang w:val="en-US"/>
        </w:rPr>
      </w:pPr>
      <w:r w:rsidRPr="00C44B3D">
        <w:rPr>
          <w:rFonts w:cs="Arial"/>
          <w:b/>
          <w:color w:val="000000" w:themeColor="text1"/>
          <w:sz w:val="24"/>
          <w:szCs w:val="24"/>
          <w:shd w:val="clear" w:color="auto" w:fill="FFFFFF"/>
          <w:lang w:val="en-US"/>
        </w:rPr>
        <w:t>1 Introduction</w:t>
      </w:r>
    </w:p>
    <w:p w14:paraId="62056AF9" w14:textId="77777777" w:rsidR="00275BC5" w:rsidRPr="0034426D" w:rsidRDefault="00275BC5" w:rsidP="00341D07">
      <w:pPr>
        <w:autoSpaceDE w:val="0"/>
        <w:autoSpaceDN w:val="0"/>
        <w:adjustRightInd w:val="0"/>
        <w:spacing w:after="0" w:line="360" w:lineRule="auto"/>
        <w:jc w:val="both"/>
        <w:rPr>
          <w:rFonts w:cs="Arial"/>
          <w:bCs/>
          <w:color w:val="000000"/>
          <w:sz w:val="24"/>
          <w:szCs w:val="24"/>
          <w:shd w:val="clear" w:color="auto" w:fill="FFFFFF"/>
          <w:lang w:val="en-US"/>
        </w:rPr>
      </w:pPr>
      <w:r w:rsidRPr="0034426D">
        <w:rPr>
          <w:rFonts w:cs="Arial"/>
          <w:color w:val="000000"/>
          <w:sz w:val="24"/>
          <w:szCs w:val="24"/>
          <w:shd w:val="clear" w:color="auto" w:fill="FFFFFF"/>
          <w:lang w:val="en-US"/>
        </w:rPr>
        <w:t xml:space="preserve">In order to achieve </w:t>
      </w:r>
      <w:r w:rsidR="00CA3374" w:rsidRPr="0034426D">
        <w:rPr>
          <w:rFonts w:cs="Arial"/>
          <w:color w:val="000000"/>
          <w:sz w:val="24"/>
          <w:szCs w:val="24"/>
          <w:shd w:val="clear" w:color="auto" w:fill="FFFFFF"/>
          <w:lang w:val="en-US"/>
        </w:rPr>
        <w:t xml:space="preserve">a </w:t>
      </w:r>
      <w:r w:rsidRPr="0034426D">
        <w:rPr>
          <w:rFonts w:cs="Arial"/>
          <w:color w:val="000000"/>
          <w:sz w:val="24"/>
          <w:szCs w:val="24"/>
          <w:shd w:val="clear" w:color="auto" w:fill="FFFFFF"/>
          <w:lang w:val="en-US"/>
        </w:rPr>
        <w:t xml:space="preserve">therapeutic success, </w:t>
      </w:r>
      <w:r w:rsidR="00CA3374" w:rsidRPr="0034426D">
        <w:rPr>
          <w:rFonts w:cs="Arial"/>
          <w:color w:val="000000"/>
          <w:sz w:val="24"/>
          <w:szCs w:val="24"/>
          <w:shd w:val="clear" w:color="auto" w:fill="FFFFFF"/>
          <w:lang w:val="en-US"/>
        </w:rPr>
        <w:t xml:space="preserve">the </w:t>
      </w:r>
      <w:r w:rsidRPr="0034426D">
        <w:rPr>
          <w:rFonts w:cs="Arial"/>
          <w:color w:val="000000"/>
          <w:sz w:val="24"/>
          <w:szCs w:val="24"/>
          <w:shd w:val="clear" w:color="auto" w:fill="FFFFFF"/>
          <w:lang w:val="en-US"/>
        </w:rPr>
        <w:t xml:space="preserve">plasma concentration of </w:t>
      </w:r>
      <w:r w:rsidR="00CA3374" w:rsidRPr="0034426D">
        <w:rPr>
          <w:rFonts w:cs="Arial"/>
          <w:color w:val="000000"/>
          <w:sz w:val="24"/>
          <w:szCs w:val="24"/>
          <w:shd w:val="clear" w:color="auto" w:fill="FFFFFF"/>
          <w:lang w:val="en-US"/>
        </w:rPr>
        <w:t xml:space="preserve">the majority of </w:t>
      </w:r>
      <w:r w:rsidRPr="0034426D">
        <w:rPr>
          <w:rFonts w:cs="Arial"/>
          <w:color w:val="000000"/>
          <w:sz w:val="24"/>
          <w:szCs w:val="24"/>
          <w:shd w:val="clear" w:color="auto" w:fill="FFFFFF"/>
          <w:lang w:val="en-US"/>
        </w:rPr>
        <w:t>drugs</w:t>
      </w:r>
      <w:r w:rsidRPr="0034426D">
        <w:rPr>
          <w:rFonts w:cs="Arial"/>
          <w:sz w:val="24"/>
          <w:szCs w:val="24"/>
          <w:shd w:val="clear" w:color="auto" w:fill="FFFFFF"/>
          <w:lang w:val="en-US"/>
        </w:rPr>
        <w:t xml:space="preserve">, </w:t>
      </w:r>
      <w:r w:rsidR="00CA3374" w:rsidRPr="0034426D">
        <w:rPr>
          <w:rFonts w:cs="Arial"/>
          <w:sz w:val="24"/>
          <w:szCs w:val="24"/>
          <w:shd w:val="clear" w:color="auto" w:fill="FFFFFF"/>
          <w:lang w:val="en-US"/>
        </w:rPr>
        <w:t xml:space="preserve">including </w:t>
      </w:r>
      <w:r w:rsidRPr="0034426D">
        <w:rPr>
          <w:rFonts w:cs="Arial"/>
          <w:sz w:val="24"/>
          <w:szCs w:val="24"/>
          <w:shd w:val="clear" w:color="auto" w:fill="FFFFFF"/>
          <w:lang w:val="en-US"/>
        </w:rPr>
        <w:t xml:space="preserve">both </w:t>
      </w:r>
      <w:r w:rsidR="00CA3374" w:rsidRPr="0034426D">
        <w:rPr>
          <w:rFonts w:cs="Arial"/>
          <w:sz w:val="24"/>
          <w:szCs w:val="24"/>
          <w:shd w:val="clear" w:color="auto" w:fill="FFFFFF"/>
          <w:lang w:val="en-US"/>
        </w:rPr>
        <w:t xml:space="preserve">small </w:t>
      </w:r>
      <w:r w:rsidRPr="0034426D">
        <w:rPr>
          <w:rFonts w:cs="Arial"/>
          <w:sz w:val="24"/>
          <w:szCs w:val="24"/>
          <w:shd w:val="clear" w:color="auto" w:fill="FFFFFF"/>
          <w:lang w:val="en-US"/>
        </w:rPr>
        <w:t>chemical</w:t>
      </w:r>
      <w:r w:rsidR="00CA3374" w:rsidRPr="0034426D">
        <w:rPr>
          <w:rFonts w:cs="Arial"/>
          <w:sz w:val="24"/>
          <w:szCs w:val="24"/>
          <w:shd w:val="clear" w:color="auto" w:fill="FFFFFF"/>
          <w:lang w:val="en-US"/>
        </w:rPr>
        <w:t xml:space="preserve"> entities</w:t>
      </w:r>
      <w:r w:rsidRPr="0034426D">
        <w:rPr>
          <w:rFonts w:cs="Arial"/>
          <w:sz w:val="24"/>
          <w:szCs w:val="24"/>
          <w:shd w:val="clear" w:color="auto" w:fill="FFFFFF"/>
          <w:lang w:val="en-US"/>
        </w:rPr>
        <w:t xml:space="preserve"> </w:t>
      </w:r>
      <w:r w:rsidR="00CA3374" w:rsidRPr="0034426D">
        <w:rPr>
          <w:rFonts w:cs="Arial"/>
          <w:sz w:val="24"/>
          <w:szCs w:val="24"/>
          <w:shd w:val="clear" w:color="auto" w:fill="FFFFFF"/>
          <w:lang w:val="en-US"/>
        </w:rPr>
        <w:t xml:space="preserve">and </w:t>
      </w:r>
      <w:r w:rsidRPr="0034426D">
        <w:rPr>
          <w:rFonts w:cs="Arial"/>
          <w:sz w:val="24"/>
          <w:szCs w:val="24"/>
          <w:shd w:val="clear" w:color="auto" w:fill="FFFFFF"/>
          <w:lang w:val="en-US"/>
        </w:rPr>
        <w:t>biologics (</w:t>
      </w:r>
      <w:r w:rsidR="00CA3374" w:rsidRPr="0034426D">
        <w:rPr>
          <w:rFonts w:cs="Arial"/>
          <w:sz w:val="24"/>
          <w:szCs w:val="24"/>
          <w:shd w:val="clear" w:color="auto" w:fill="FFFFFF"/>
          <w:lang w:val="en-US"/>
        </w:rPr>
        <w:t>i.e. recombinant proteins, antibodies and their derivatives</w:t>
      </w:r>
      <w:r w:rsidR="00706BC4" w:rsidRPr="0034426D">
        <w:rPr>
          <w:rFonts w:cs="Arial"/>
          <w:sz w:val="24"/>
          <w:szCs w:val="24"/>
          <w:shd w:val="clear" w:color="auto" w:fill="FFFFFF"/>
          <w:lang w:val="en-US"/>
        </w:rPr>
        <w:t>,</w:t>
      </w:r>
      <w:r w:rsidR="00CA3374" w:rsidRPr="0034426D">
        <w:rPr>
          <w:rFonts w:cs="Arial"/>
          <w:sz w:val="24"/>
          <w:szCs w:val="24"/>
          <w:shd w:val="clear" w:color="auto" w:fill="FFFFFF"/>
          <w:lang w:val="en-US"/>
        </w:rPr>
        <w:t xml:space="preserve"> and nucleic acid</w:t>
      </w:r>
      <w:r w:rsidR="000F6CFA" w:rsidRPr="0034426D">
        <w:rPr>
          <w:rFonts w:cs="Arial"/>
          <w:sz w:val="24"/>
          <w:szCs w:val="24"/>
          <w:shd w:val="clear" w:color="auto" w:fill="FFFFFF"/>
          <w:lang w:val="en-US"/>
        </w:rPr>
        <w:t>-</w:t>
      </w:r>
      <w:r w:rsidR="00CA3374" w:rsidRPr="0034426D">
        <w:rPr>
          <w:rFonts w:cs="Arial"/>
          <w:sz w:val="24"/>
          <w:szCs w:val="24"/>
          <w:shd w:val="clear" w:color="auto" w:fill="FFFFFF"/>
          <w:lang w:val="en-US"/>
        </w:rPr>
        <w:t>based therapeutics)</w:t>
      </w:r>
      <w:r w:rsidRPr="0034426D">
        <w:rPr>
          <w:rFonts w:cs="Arial"/>
          <w:sz w:val="24"/>
          <w:szCs w:val="24"/>
          <w:shd w:val="clear" w:color="auto" w:fill="FFFFFF"/>
          <w:lang w:val="en-US"/>
        </w:rPr>
        <w:t xml:space="preserve">, </w:t>
      </w:r>
      <w:r w:rsidRPr="0034426D">
        <w:rPr>
          <w:rFonts w:cs="Arial"/>
          <w:color w:val="000000"/>
          <w:sz w:val="24"/>
          <w:szCs w:val="24"/>
          <w:shd w:val="clear" w:color="auto" w:fill="FFFFFF"/>
          <w:lang w:val="en-US"/>
        </w:rPr>
        <w:t>should be within the therapeutic window</w:t>
      </w:r>
      <w:r w:rsidR="00706BC4" w:rsidRPr="0034426D">
        <w:rPr>
          <w:rFonts w:cs="Arial"/>
          <w:color w:val="000000"/>
          <w:sz w:val="24"/>
          <w:szCs w:val="24"/>
          <w:shd w:val="clear" w:color="auto" w:fill="FFFFFF"/>
          <w:lang w:val="en-US"/>
        </w:rPr>
        <w:t xml:space="preserve"> and should result in a proper tissue distribution</w:t>
      </w:r>
      <w:r w:rsidRPr="0034426D">
        <w:rPr>
          <w:rFonts w:cs="Arial"/>
          <w:color w:val="000000"/>
          <w:sz w:val="24"/>
          <w:szCs w:val="24"/>
          <w:shd w:val="clear" w:color="auto" w:fill="FFFFFF"/>
          <w:lang w:val="en-US"/>
        </w:rPr>
        <w:t xml:space="preserve">. </w:t>
      </w:r>
      <w:r w:rsidR="00706BC4" w:rsidRPr="0034426D">
        <w:rPr>
          <w:rFonts w:cs="Arial"/>
          <w:color w:val="000000"/>
          <w:sz w:val="24"/>
          <w:szCs w:val="24"/>
          <w:shd w:val="clear" w:color="auto" w:fill="FFFFFF"/>
          <w:lang w:val="en-US"/>
        </w:rPr>
        <w:t xml:space="preserve">Mainly </w:t>
      </w:r>
      <w:r w:rsidR="00714291" w:rsidRPr="0034426D">
        <w:rPr>
          <w:rFonts w:cs="Arial"/>
          <w:color w:val="000000"/>
          <w:sz w:val="24"/>
          <w:szCs w:val="24"/>
          <w:shd w:val="clear" w:color="auto" w:fill="FFFFFF"/>
          <w:lang w:val="en-US"/>
        </w:rPr>
        <w:t>owing to</w:t>
      </w:r>
      <w:r w:rsidR="00706BC4" w:rsidRPr="0034426D">
        <w:rPr>
          <w:rFonts w:cs="Arial"/>
          <w:color w:val="000000"/>
          <w:sz w:val="24"/>
          <w:szCs w:val="24"/>
          <w:shd w:val="clear" w:color="auto" w:fill="FFFFFF"/>
          <w:lang w:val="en-US"/>
        </w:rPr>
        <w:t xml:space="preserve"> this reason</w:t>
      </w:r>
      <w:r w:rsidR="00714291" w:rsidRPr="0034426D">
        <w:rPr>
          <w:rFonts w:cs="Arial"/>
          <w:color w:val="000000"/>
          <w:sz w:val="24"/>
          <w:szCs w:val="24"/>
          <w:shd w:val="clear" w:color="auto" w:fill="FFFFFF"/>
          <w:lang w:val="en-US"/>
        </w:rPr>
        <w:t>,</w:t>
      </w:r>
      <w:r w:rsidR="00706BC4" w:rsidRPr="0034426D">
        <w:rPr>
          <w:rFonts w:cs="Arial"/>
          <w:color w:val="000000"/>
          <w:sz w:val="24"/>
          <w:szCs w:val="24"/>
          <w:shd w:val="clear" w:color="auto" w:fill="FFFFFF"/>
          <w:lang w:val="en-US"/>
        </w:rPr>
        <w:t xml:space="preserve"> </w:t>
      </w:r>
      <w:r w:rsidR="005A1343" w:rsidRPr="0034426D">
        <w:rPr>
          <w:rFonts w:cs="Arial"/>
          <w:color w:val="000000"/>
          <w:sz w:val="24"/>
          <w:szCs w:val="24"/>
          <w:shd w:val="clear" w:color="auto" w:fill="FFFFFF"/>
          <w:lang w:val="en-US"/>
        </w:rPr>
        <w:t>our understanding should no</w:t>
      </w:r>
      <w:r w:rsidR="00706BC4" w:rsidRPr="0034426D">
        <w:rPr>
          <w:rFonts w:cs="Arial"/>
          <w:color w:val="000000"/>
          <w:sz w:val="24"/>
          <w:szCs w:val="24"/>
          <w:shd w:val="clear" w:color="auto" w:fill="FFFFFF"/>
          <w:lang w:val="en-US"/>
        </w:rPr>
        <w:t xml:space="preserve"> longer</w:t>
      </w:r>
      <w:r w:rsidRPr="0034426D">
        <w:rPr>
          <w:rFonts w:cs="Arial"/>
          <w:color w:val="000000"/>
          <w:sz w:val="24"/>
          <w:szCs w:val="24"/>
          <w:shd w:val="clear" w:color="auto" w:fill="FFFFFF"/>
          <w:lang w:val="en-US"/>
        </w:rPr>
        <w:t xml:space="preserve"> </w:t>
      </w:r>
      <w:r w:rsidR="00706BC4" w:rsidRPr="0034426D">
        <w:rPr>
          <w:rFonts w:cs="Arial"/>
          <w:color w:val="000000"/>
          <w:sz w:val="24"/>
          <w:szCs w:val="24"/>
          <w:shd w:val="clear" w:color="auto" w:fill="FFFFFF"/>
          <w:lang w:val="en-US"/>
        </w:rPr>
        <w:t>be limited to</w:t>
      </w:r>
      <w:r w:rsidRPr="0034426D">
        <w:rPr>
          <w:rFonts w:cs="Arial"/>
          <w:color w:val="000000"/>
          <w:sz w:val="24"/>
          <w:szCs w:val="24"/>
          <w:shd w:val="clear" w:color="auto" w:fill="FFFFFF"/>
          <w:lang w:val="en-US"/>
        </w:rPr>
        <w:t xml:space="preserve"> the mechanisms </w:t>
      </w:r>
      <w:r w:rsidR="00706BC4" w:rsidRPr="0034426D">
        <w:rPr>
          <w:rFonts w:cs="Arial"/>
          <w:color w:val="000000"/>
          <w:sz w:val="24"/>
          <w:szCs w:val="24"/>
          <w:shd w:val="clear" w:color="auto" w:fill="FFFFFF"/>
          <w:lang w:val="en-US"/>
        </w:rPr>
        <w:t xml:space="preserve">governing </w:t>
      </w:r>
      <w:r w:rsidRPr="0034426D">
        <w:rPr>
          <w:rFonts w:cs="Arial"/>
          <w:color w:val="000000"/>
          <w:sz w:val="24"/>
          <w:szCs w:val="24"/>
          <w:shd w:val="clear" w:color="auto" w:fill="FFFFFF"/>
          <w:lang w:val="en-US"/>
        </w:rPr>
        <w:t xml:space="preserve">drug absorption, distribution, metabolism and excretion, but </w:t>
      </w:r>
      <w:r w:rsidR="00706BC4" w:rsidRPr="0034426D">
        <w:rPr>
          <w:rFonts w:cs="Arial"/>
          <w:color w:val="000000"/>
          <w:sz w:val="24"/>
          <w:szCs w:val="24"/>
          <w:shd w:val="clear" w:color="auto" w:fill="FFFFFF"/>
          <w:lang w:val="en-US"/>
        </w:rPr>
        <w:t xml:space="preserve">should also consider </w:t>
      </w:r>
      <w:r w:rsidRPr="0034426D">
        <w:rPr>
          <w:rFonts w:cs="Arial"/>
          <w:color w:val="000000"/>
          <w:sz w:val="24"/>
          <w:szCs w:val="24"/>
          <w:shd w:val="clear" w:color="auto" w:fill="FFFFFF"/>
          <w:lang w:val="en-US"/>
        </w:rPr>
        <w:t>the</w:t>
      </w:r>
      <w:r w:rsidR="00706BC4" w:rsidRPr="0034426D">
        <w:rPr>
          <w:rFonts w:cs="Arial"/>
          <w:color w:val="000000"/>
          <w:sz w:val="24"/>
          <w:szCs w:val="24"/>
          <w:shd w:val="clear" w:color="auto" w:fill="FFFFFF"/>
          <w:lang w:val="en-US"/>
        </w:rPr>
        <w:t xml:space="preserve"> </w:t>
      </w:r>
      <w:r w:rsidR="005A1343" w:rsidRPr="0034426D">
        <w:rPr>
          <w:rFonts w:cs="Arial"/>
          <w:color w:val="000000"/>
          <w:sz w:val="24"/>
          <w:szCs w:val="24"/>
          <w:shd w:val="clear" w:color="auto" w:fill="FFFFFF"/>
          <w:lang w:val="en-US"/>
        </w:rPr>
        <w:t>compartmentalization</w:t>
      </w:r>
      <w:r w:rsidRPr="0034426D">
        <w:rPr>
          <w:rFonts w:cs="Arial"/>
          <w:color w:val="000000"/>
          <w:sz w:val="24"/>
          <w:szCs w:val="24"/>
          <w:shd w:val="clear" w:color="auto" w:fill="FFFFFF"/>
          <w:lang w:val="en-US"/>
        </w:rPr>
        <w:t xml:space="preserve"> of these processes</w:t>
      </w:r>
      <w:r w:rsidR="00706BC4" w:rsidRPr="0034426D">
        <w:rPr>
          <w:rFonts w:cs="Arial"/>
          <w:color w:val="000000"/>
          <w:sz w:val="24"/>
          <w:szCs w:val="24"/>
          <w:shd w:val="clear" w:color="auto" w:fill="FFFFFF"/>
          <w:lang w:val="en-US"/>
        </w:rPr>
        <w:t xml:space="preserve"> and the interaction of the active substance with i</w:t>
      </w:r>
      <w:r w:rsidR="000E656E" w:rsidRPr="0034426D">
        <w:rPr>
          <w:rFonts w:cs="Arial"/>
          <w:color w:val="000000"/>
          <w:sz w:val="24"/>
          <w:szCs w:val="24"/>
          <w:shd w:val="clear" w:color="auto" w:fill="FFFFFF"/>
          <w:lang w:val="en-US"/>
        </w:rPr>
        <w:t xml:space="preserve">ts delivery system and with </w:t>
      </w:r>
      <w:r w:rsidR="00706BC4" w:rsidRPr="0034426D">
        <w:rPr>
          <w:rFonts w:cs="Arial"/>
          <w:color w:val="000000"/>
          <w:sz w:val="24"/>
          <w:szCs w:val="24"/>
          <w:shd w:val="clear" w:color="auto" w:fill="FFFFFF"/>
          <w:lang w:val="en-US"/>
        </w:rPr>
        <w:t>specific and non-specific targets</w:t>
      </w:r>
      <w:r w:rsidRPr="0034426D">
        <w:rPr>
          <w:rFonts w:cs="Arial"/>
          <w:bCs/>
          <w:color w:val="000000"/>
          <w:sz w:val="24"/>
          <w:szCs w:val="24"/>
          <w:shd w:val="clear" w:color="auto" w:fill="FFFFFF"/>
          <w:lang w:val="en-US"/>
        </w:rPr>
        <w:t>.</w:t>
      </w:r>
      <w:r w:rsidRPr="0034426D">
        <w:rPr>
          <w:rFonts w:cs="AdvTT5235d5a9"/>
          <w:sz w:val="24"/>
          <w:szCs w:val="24"/>
          <w:lang w:val="en-US"/>
        </w:rPr>
        <w:t xml:space="preserve"> In fact, </w:t>
      </w:r>
      <w:r w:rsidRPr="0034426D">
        <w:rPr>
          <w:rFonts w:cs="AdvTT5235d5a9"/>
          <w:i/>
          <w:sz w:val="24"/>
          <w:szCs w:val="24"/>
          <w:lang w:val="en-US"/>
        </w:rPr>
        <w:t>in vivo</w:t>
      </w:r>
      <w:r w:rsidRPr="0034426D">
        <w:rPr>
          <w:rFonts w:cs="AdvTT5235d5a9"/>
          <w:sz w:val="24"/>
          <w:szCs w:val="24"/>
          <w:lang w:val="en-US"/>
        </w:rPr>
        <w:t xml:space="preserve"> fate of a drug is determined by its physicochemical properties, </w:t>
      </w:r>
      <w:r w:rsidR="000E656E" w:rsidRPr="0034426D">
        <w:rPr>
          <w:rFonts w:cs="AdvTT5235d5a9"/>
          <w:sz w:val="24"/>
          <w:szCs w:val="24"/>
          <w:lang w:val="en-US"/>
        </w:rPr>
        <w:t xml:space="preserve">by the interaction of the same with the selected drug delivery system and </w:t>
      </w:r>
      <w:r w:rsidRPr="0034426D">
        <w:rPr>
          <w:rFonts w:cs="AdvTT5235d5a9"/>
          <w:sz w:val="24"/>
          <w:szCs w:val="24"/>
          <w:lang w:val="en-US"/>
        </w:rPr>
        <w:t xml:space="preserve">in addition </w:t>
      </w:r>
      <w:r w:rsidR="0017366D" w:rsidRPr="0034426D">
        <w:rPr>
          <w:rFonts w:cs="AdvTT5235d5a9"/>
          <w:sz w:val="24"/>
          <w:szCs w:val="24"/>
          <w:lang w:val="en-US"/>
        </w:rPr>
        <w:t xml:space="preserve">by the </w:t>
      </w:r>
      <w:r w:rsidR="001946C4" w:rsidRPr="0034426D">
        <w:rPr>
          <w:rFonts w:cs="AdvTT5235d5a9"/>
          <w:sz w:val="24"/>
          <w:szCs w:val="24"/>
          <w:lang w:val="en-US"/>
        </w:rPr>
        <w:t xml:space="preserve">physiological </w:t>
      </w:r>
      <w:r w:rsidR="000E656E" w:rsidRPr="0034426D">
        <w:rPr>
          <w:rFonts w:cs="AdvTT5235d5a9"/>
          <w:sz w:val="24"/>
          <w:szCs w:val="24"/>
          <w:lang w:val="en-US"/>
        </w:rPr>
        <w:t xml:space="preserve">and/or pathological </w:t>
      </w:r>
      <w:r w:rsidR="001946C4" w:rsidRPr="0034426D">
        <w:rPr>
          <w:rFonts w:cs="AdvTT5235d5a9"/>
          <w:sz w:val="24"/>
          <w:szCs w:val="24"/>
          <w:lang w:val="en-US"/>
        </w:rPr>
        <w:t>features</w:t>
      </w:r>
      <w:r w:rsidRPr="0034426D">
        <w:rPr>
          <w:rFonts w:cs="AdvTT5235d5a9"/>
          <w:sz w:val="24"/>
          <w:szCs w:val="24"/>
          <w:lang w:val="en-US"/>
        </w:rPr>
        <w:t xml:space="preserve"> of the body</w:t>
      </w:r>
      <w:r w:rsidR="000E656E" w:rsidRPr="0034426D">
        <w:rPr>
          <w:rFonts w:cs="AdvTT5235d5a9"/>
          <w:sz w:val="24"/>
          <w:szCs w:val="24"/>
          <w:lang w:val="en-US"/>
        </w:rPr>
        <w:t xml:space="preserve"> receiving the treatment</w:t>
      </w:r>
      <w:r w:rsidRPr="0034426D">
        <w:rPr>
          <w:rFonts w:cs="AdvTT5235d5a9"/>
          <w:sz w:val="24"/>
          <w:szCs w:val="24"/>
          <w:lang w:val="en-US"/>
        </w:rPr>
        <w:t>.</w:t>
      </w:r>
    </w:p>
    <w:p w14:paraId="04E5BEE2" w14:textId="77777777" w:rsidR="00275BC5" w:rsidRPr="0034426D" w:rsidRDefault="00275BC5" w:rsidP="00341D07">
      <w:pPr>
        <w:spacing w:after="0" w:line="360" w:lineRule="auto"/>
        <w:jc w:val="both"/>
        <w:rPr>
          <w:rFonts w:cs="Arial"/>
          <w:color w:val="000000"/>
          <w:sz w:val="24"/>
          <w:szCs w:val="24"/>
          <w:shd w:val="clear" w:color="auto" w:fill="FFFFFF"/>
          <w:lang w:val="en-US"/>
        </w:rPr>
      </w:pPr>
      <w:r w:rsidRPr="0034426D">
        <w:rPr>
          <w:rFonts w:cs="Arial"/>
          <w:color w:val="000000"/>
          <w:sz w:val="24"/>
          <w:szCs w:val="24"/>
          <w:shd w:val="clear" w:color="auto" w:fill="FFFFFF"/>
          <w:lang w:val="en-US"/>
        </w:rPr>
        <w:t xml:space="preserve">Administration of several </w:t>
      </w:r>
      <w:r w:rsidR="0017366D" w:rsidRPr="0034426D">
        <w:rPr>
          <w:rFonts w:cs="Arial"/>
          <w:color w:val="000000"/>
          <w:sz w:val="24"/>
          <w:szCs w:val="24"/>
          <w:shd w:val="clear" w:color="auto" w:fill="FFFFFF"/>
          <w:lang w:val="en-US"/>
        </w:rPr>
        <w:t xml:space="preserve">active </w:t>
      </w:r>
      <w:r w:rsidR="001946C4" w:rsidRPr="0034426D">
        <w:rPr>
          <w:rFonts w:cs="Arial"/>
          <w:color w:val="000000"/>
          <w:sz w:val="24"/>
          <w:szCs w:val="24"/>
          <w:shd w:val="clear" w:color="auto" w:fill="FFFFFF"/>
          <w:lang w:val="en-US"/>
        </w:rPr>
        <w:t>substances</w:t>
      </w:r>
      <w:r w:rsidRPr="0034426D">
        <w:rPr>
          <w:rFonts w:cs="Arial"/>
          <w:color w:val="000000"/>
          <w:sz w:val="24"/>
          <w:szCs w:val="24"/>
          <w:shd w:val="clear" w:color="auto" w:fill="FFFFFF"/>
          <w:lang w:val="en-US"/>
        </w:rPr>
        <w:t xml:space="preserve"> </w:t>
      </w:r>
      <w:r w:rsidR="0017366D" w:rsidRPr="0034426D">
        <w:rPr>
          <w:rFonts w:cs="Arial"/>
          <w:color w:val="000000"/>
          <w:sz w:val="24"/>
          <w:szCs w:val="24"/>
          <w:shd w:val="clear" w:color="auto" w:fill="FFFFFF"/>
          <w:lang w:val="en-US"/>
        </w:rPr>
        <w:t>by</w:t>
      </w:r>
      <w:r w:rsidRPr="0034426D">
        <w:rPr>
          <w:rFonts w:cs="Arial"/>
          <w:color w:val="000000"/>
          <w:sz w:val="24"/>
          <w:szCs w:val="24"/>
          <w:shd w:val="clear" w:color="auto" w:fill="FFFFFF"/>
          <w:lang w:val="en-US"/>
        </w:rPr>
        <w:t xml:space="preserve"> conventional </w:t>
      </w:r>
      <w:r w:rsidR="0017366D" w:rsidRPr="0034426D">
        <w:rPr>
          <w:rFonts w:cs="Arial"/>
          <w:color w:val="000000"/>
          <w:sz w:val="24"/>
          <w:szCs w:val="24"/>
          <w:shd w:val="clear" w:color="auto" w:fill="FFFFFF"/>
          <w:lang w:val="en-US"/>
        </w:rPr>
        <w:t xml:space="preserve">formulations and </w:t>
      </w:r>
      <w:r w:rsidRPr="0034426D">
        <w:rPr>
          <w:rFonts w:cs="Arial"/>
          <w:color w:val="000000"/>
          <w:sz w:val="24"/>
          <w:szCs w:val="24"/>
          <w:shd w:val="clear" w:color="auto" w:fill="FFFFFF"/>
          <w:lang w:val="en-US"/>
        </w:rPr>
        <w:t xml:space="preserve">dosage forms may lead to </w:t>
      </w:r>
      <w:r w:rsidR="001946C4" w:rsidRPr="0034426D">
        <w:rPr>
          <w:rFonts w:cs="Arial"/>
          <w:color w:val="000000"/>
          <w:sz w:val="24"/>
          <w:szCs w:val="24"/>
          <w:shd w:val="clear" w:color="auto" w:fill="FFFFFF"/>
          <w:lang w:val="en-US"/>
        </w:rPr>
        <w:t>their</w:t>
      </w:r>
      <w:r w:rsidRPr="0034426D">
        <w:rPr>
          <w:rFonts w:cs="Arial"/>
          <w:color w:val="000000"/>
          <w:sz w:val="24"/>
          <w:szCs w:val="24"/>
          <w:shd w:val="clear" w:color="auto" w:fill="FFFFFF"/>
          <w:lang w:val="en-US"/>
        </w:rPr>
        <w:t xml:space="preserve"> rapid clearance resulting in short plasma</w:t>
      </w:r>
      <w:r w:rsidRPr="0034426D">
        <w:rPr>
          <w:rStyle w:val="apple-converted-space"/>
          <w:rFonts w:cs="Arial"/>
          <w:color w:val="000000"/>
          <w:sz w:val="24"/>
          <w:szCs w:val="24"/>
          <w:shd w:val="clear" w:color="auto" w:fill="FFFFFF"/>
          <w:lang w:val="en-US"/>
        </w:rPr>
        <w:t xml:space="preserve"> </w:t>
      </w:r>
      <w:r w:rsidRPr="0034426D">
        <w:rPr>
          <w:rStyle w:val="highlight"/>
          <w:rFonts w:cs="Arial"/>
          <w:color w:val="000000"/>
          <w:sz w:val="24"/>
          <w:szCs w:val="24"/>
          <w:shd w:val="clear" w:color="auto" w:fill="FFFFFF"/>
          <w:lang w:val="en-US"/>
        </w:rPr>
        <w:t>half-life</w:t>
      </w:r>
      <w:r w:rsidR="000F6CFA" w:rsidRPr="0034426D">
        <w:rPr>
          <w:rStyle w:val="highlight"/>
          <w:rFonts w:cs="Arial"/>
          <w:color w:val="000000"/>
          <w:sz w:val="24"/>
          <w:szCs w:val="24"/>
          <w:shd w:val="clear" w:color="auto" w:fill="FFFFFF"/>
          <w:lang w:val="en-US"/>
        </w:rPr>
        <w:t>,</w:t>
      </w:r>
      <w:r w:rsidR="001946C4" w:rsidRPr="0034426D">
        <w:rPr>
          <w:rFonts w:cs="Arial"/>
          <w:color w:val="000000"/>
          <w:sz w:val="24"/>
          <w:szCs w:val="24"/>
          <w:shd w:val="clear" w:color="auto" w:fill="FFFFFF"/>
          <w:lang w:val="en-US"/>
        </w:rPr>
        <w:t xml:space="preserve"> which </w:t>
      </w:r>
      <w:r w:rsidR="000F6CFA" w:rsidRPr="0034426D">
        <w:rPr>
          <w:rFonts w:cs="Arial"/>
          <w:color w:val="000000"/>
          <w:sz w:val="24"/>
          <w:szCs w:val="24"/>
          <w:shd w:val="clear" w:color="auto" w:fill="FFFFFF"/>
          <w:lang w:val="en-US"/>
        </w:rPr>
        <w:t xml:space="preserve">is </w:t>
      </w:r>
      <w:r w:rsidR="0017366D" w:rsidRPr="0034426D">
        <w:rPr>
          <w:rFonts w:cs="Arial"/>
          <w:color w:val="000000"/>
          <w:sz w:val="24"/>
          <w:szCs w:val="24"/>
          <w:shd w:val="clear" w:color="auto" w:fill="FFFFFF"/>
          <w:lang w:val="en-US"/>
        </w:rPr>
        <w:t xml:space="preserve">frequently </w:t>
      </w:r>
      <w:r w:rsidRPr="0034426D">
        <w:rPr>
          <w:rFonts w:cs="Arial"/>
          <w:color w:val="000000"/>
          <w:sz w:val="24"/>
          <w:szCs w:val="24"/>
          <w:shd w:val="clear" w:color="auto" w:fill="FFFFFF"/>
          <w:lang w:val="en-US"/>
        </w:rPr>
        <w:t xml:space="preserve">not effective </w:t>
      </w:r>
      <w:r w:rsidR="0017366D" w:rsidRPr="0034426D">
        <w:rPr>
          <w:rFonts w:cs="Arial"/>
          <w:color w:val="000000"/>
          <w:sz w:val="24"/>
          <w:szCs w:val="24"/>
          <w:shd w:val="clear" w:color="auto" w:fill="FFFFFF"/>
          <w:lang w:val="en-US"/>
        </w:rPr>
        <w:t>and/or does</w:t>
      </w:r>
      <w:r w:rsidR="003810E1">
        <w:rPr>
          <w:rFonts w:cs="Arial"/>
          <w:color w:val="000000"/>
          <w:sz w:val="24"/>
          <w:szCs w:val="24"/>
          <w:shd w:val="clear" w:color="auto" w:fill="FFFFFF"/>
          <w:lang w:val="en-US"/>
        </w:rPr>
        <w:t xml:space="preserve"> </w:t>
      </w:r>
      <w:r w:rsidR="0017366D" w:rsidRPr="0034426D">
        <w:rPr>
          <w:rFonts w:cs="Arial"/>
          <w:color w:val="000000"/>
          <w:sz w:val="24"/>
          <w:szCs w:val="24"/>
          <w:shd w:val="clear" w:color="auto" w:fill="FFFFFF"/>
          <w:lang w:val="en-US"/>
        </w:rPr>
        <w:t>n</w:t>
      </w:r>
      <w:r w:rsidR="003810E1">
        <w:rPr>
          <w:rFonts w:cs="Arial"/>
          <w:color w:val="000000"/>
          <w:sz w:val="24"/>
          <w:szCs w:val="24"/>
          <w:shd w:val="clear" w:color="auto" w:fill="FFFFFF"/>
          <w:lang w:val="en-US"/>
        </w:rPr>
        <w:t>o</w:t>
      </w:r>
      <w:r w:rsidR="0017366D" w:rsidRPr="0034426D">
        <w:rPr>
          <w:rFonts w:cs="Arial"/>
          <w:color w:val="000000"/>
          <w:sz w:val="24"/>
          <w:szCs w:val="24"/>
          <w:shd w:val="clear" w:color="auto" w:fill="FFFFFF"/>
          <w:lang w:val="en-US"/>
        </w:rPr>
        <w:t>t</w:t>
      </w:r>
      <w:r w:rsidRPr="0034426D">
        <w:rPr>
          <w:rFonts w:cs="Arial"/>
          <w:color w:val="000000"/>
          <w:sz w:val="24"/>
          <w:szCs w:val="24"/>
          <w:shd w:val="clear" w:color="auto" w:fill="FFFFFF"/>
          <w:lang w:val="en-US"/>
        </w:rPr>
        <w:t xml:space="preserve"> exhibit sufficient </w:t>
      </w:r>
      <w:r w:rsidR="001946C4" w:rsidRPr="0034426D">
        <w:rPr>
          <w:rFonts w:cs="Arial"/>
          <w:i/>
          <w:color w:val="000000"/>
          <w:sz w:val="24"/>
          <w:szCs w:val="24"/>
          <w:shd w:val="clear" w:color="auto" w:fill="FFFFFF"/>
          <w:lang w:val="en-US"/>
        </w:rPr>
        <w:t>in vivo</w:t>
      </w:r>
      <w:r w:rsidR="001946C4" w:rsidRPr="0034426D">
        <w:rPr>
          <w:rFonts w:cs="Arial"/>
          <w:color w:val="000000"/>
          <w:sz w:val="24"/>
          <w:szCs w:val="24"/>
          <w:shd w:val="clear" w:color="auto" w:fill="FFFFFF"/>
          <w:lang w:val="en-US"/>
        </w:rPr>
        <w:t xml:space="preserve"> </w:t>
      </w:r>
      <w:r w:rsidRPr="0034426D">
        <w:rPr>
          <w:rFonts w:cs="Arial"/>
          <w:color w:val="000000"/>
          <w:sz w:val="24"/>
          <w:szCs w:val="24"/>
          <w:shd w:val="clear" w:color="auto" w:fill="FFFFFF"/>
          <w:lang w:val="en-US"/>
        </w:rPr>
        <w:t>pharmacological activities.</w:t>
      </w:r>
    </w:p>
    <w:p w14:paraId="7CD89134" w14:textId="77777777" w:rsidR="00BE1C04" w:rsidRPr="0034426D" w:rsidRDefault="000E656E" w:rsidP="005A1343">
      <w:pPr>
        <w:spacing w:after="0" w:line="360" w:lineRule="auto"/>
        <w:jc w:val="both"/>
        <w:rPr>
          <w:rFonts w:cs="AdvTT5235d5a9"/>
          <w:color w:val="000000"/>
          <w:sz w:val="24"/>
          <w:szCs w:val="24"/>
          <w:lang w:val="en-US"/>
        </w:rPr>
      </w:pPr>
      <w:r w:rsidRPr="0034426D">
        <w:rPr>
          <w:sz w:val="24"/>
          <w:szCs w:val="24"/>
          <w:lang w:val="en-US"/>
        </w:rPr>
        <w:t>Limited</w:t>
      </w:r>
      <w:r w:rsidR="00275BC5" w:rsidRPr="0034426D">
        <w:rPr>
          <w:sz w:val="24"/>
          <w:szCs w:val="24"/>
          <w:lang w:val="en-US"/>
        </w:rPr>
        <w:t xml:space="preserve"> plasma </w:t>
      </w:r>
      <w:r w:rsidR="00275BC5" w:rsidRPr="0034426D">
        <w:rPr>
          <w:rStyle w:val="highlight"/>
          <w:rFonts w:cs="Arial"/>
          <w:color w:val="000000"/>
          <w:sz w:val="24"/>
          <w:szCs w:val="24"/>
          <w:shd w:val="clear" w:color="auto" w:fill="FFFFFF"/>
          <w:lang w:val="en-US"/>
        </w:rPr>
        <w:t>half-life</w:t>
      </w:r>
      <w:r w:rsidR="00275BC5" w:rsidRPr="0034426D">
        <w:rPr>
          <w:sz w:val="24"/>
          <w:szCs w:val="24"/>
          <w:lang w:val="en-US"/>
        </w:rPr>
        <w:t xml:space="preserve"> </w:t>
      </w:r>
      <w:r w:rsidR="004E14A3" w:rsidRPr="0034426D">
        <w:rPr>
          <w:sz w:val="24"/>
          <w:szCs w:val="24"/>
          <w:lang w:val="en-US"/>
        </w:rPr>
        <w:t xml:space="preserve">of most </w:t>
      </w:r>
      <w:r w:rsidRPr="0034426D">
        <w:rPr>
          <w:sz w:val="24"/>
          <w:szCs w:val="24"/>
          <w:lang w:val="en-US"/>
        </w:rPr>
        <w:t>therapeutic</w:t>
      </w:r>
      <w:r w:rsidR="004E14A3" w:rsidRPr="0034426D">
        <w:rPr>
          <w:sz w:val="24"/>
          <w:szCs w:val="24"/>
          <w:lang w:val="en-US"/>
        </w:rPr>
        <w:t xml:space="preserve"> agents </w:t>
      </w:r>
      <w:r w:rsidR="00275BC5" w:rsidRPr="0034426D">
        <w:rPr>
          <w:sz w:val="24"/>
          <w:szCs w:val="24"/>
          <w:lang w:val="en-US"/>
        </w:rPr>
        <w:t xml:space="preserve">is commonly due to </w:t>
      </w:r>
      <w:r w:rsidRPr="0034426D">
        <w:rPr>
          <w:sz w:val="24"/>
          <w:szCs w:val="24"/>
          <w:lang w:val="en-US"/>
        </w:rPr>
        <w:t xml:space="preserve">their susceptibility to </w:t>
      </w:r>
      <w:r w:rsidR="00275BC5" w:rsidRPr="0034426D">
        <w:rPr>
          <w:sz w:val="24"/>
          <w:szCs w:val="24"/>
          <w:lang w:val="en-US"/>
        </w:rPr>
        <w:t xml:space="preserve">degradation by </w:t>
      </w:r>
      <w:r w:rsidRPr="0034426D">
        <w:rPr>
          <w:sz w:val="24"/>
          <w:szCs w:val="24"/>
          <w:lang w:val="en-US"/>
        </w:rPr>
        <w:t xml:space="preserve">liver and kidney </w:t>
      </w:r>
      <w:r w:rsidR="00275BC5" w:rsidRPr="0034426D">
        <w:rPr>
          <w:sz w:val="24"/>
          <w:szCs w:val="24"/>
          <w:lang w:val="en-US"/>
        </w:rPr>
        <w:t>enzymes, fast renal clearance by glomerular filtration (connected to hydrophilic properties as well as small size</w:t>
      </w:r>
      <w:r w:rsidR="004E14A3" w:rsidRPr="0034426D">
        <w:rPr>
          <w:sz w:val="24"/>
          <w:szCs w:val="24"/>
          <w:lang w:val="en-US"/>
        </w:rPr>
        <w:t xml:space="preserve"> of the drug</w:t>
      </w:r>
      <w:r w:rsidR="00275BC5" w:rsidRPr="0034426D">
        <w:rPr>
          <w:sz w:val="24"/>
          <w:szCs w:val="24"/>
          <w:lang w:val="en-US"/>
        </w:rPr>
        <w:t xml:space="preserve">), </w:t>
      </w:r>
      <w:r w:rsidRPr="0034426D">
        <w:rPr>
          <w:sz w:val="24"/>
          <w:szCs w:val="24"/>
          <w:lang w:val="en-US"/>
        </w:rPr>
        <w:t xml:space="preserve">recognition and subsequent </w:t>
      </w:r>
      <w:r w:rsidR="003E5DC9" w:rsidRPr="0034426D">
        <w:rPr>
          <w:sz w:val="24"/>
          <w:szCs w:val="24"/>
          <w:lang w:val="en-US"/>
        </w:rPr>
        <w:t xml:space="preserve">processing by the reticuloendothelial system (RES) </w:t>
      </w:r>
      <w:r w:rsidRPr="0034426D">
        <w:rPr>
          <w:sz w:val="24"/>
          <w:szCs w:val="24"/>
          <w:lang w:val="en-US"/>
        </w:rPr>
        <w:t>and/</w:t>
      </w:r>
      <w:r w:rsidR="003E5DC9" w:rsidRPr="0034426D">
        <w:rPr>
          <w:sz w:val="24"/>
          <w:szCs w:val="24"/>
          <w:lang w:val="en-US"/>
        </w:rPr>
        <w:t xml:space="preserve">or </w:t>
      </w:r>
      <w:r w:rsidRPr="0034426D">
        <w:rPr>
          <w:sz w:val="24"/>
          <w:szCs w:val="24"/>
          <w:lang w:val="en-US"/>
        </w:rPr>
        <w:t xml:space="preserve">to </w:t>
      </w:r>
      <w:r w:rsidR="004E14A3" w:rsidRPr="0034426D">
        <w:rPr>
          <w:sz w:val="24"/>
          <w:szCs w:val="24"/>
          <w:lang w:val="en-US"/>
        </w:rPr>
        <w:t xml:space="preserve">their </w:t>
      </w:r>
      <w:r w:rsidR="00275BC5" w:rsidRPr="0034426D">
        <w:rPr>
          <w:sz w:val="24"/>
          <w:szCs w:val="24"/>
          <w:lang w:val="en-US"/>
        </w:rPr>
        <w:t xml:space="preserve">potential immunogenicity </w:t>
      </w:r>
      <w:r w:rsidR="002977CC" w:rsidRPr="0034426D">
        <w:rPr>
          <w:sz w:val="24"/>
          <w:szCs w:val="24"/>
          <w:lang w:val="en-US"/>
        </w:rPr>
        <w:t>[1]</w:t>
      </w:r>
      <w:r w:rsidR="00275BC5" w:rsidRPr="0034426D">
        <w:rPr>
          <w:sz w:val="24"/>
          <w:szCs w:val="24"/>
          <w:lang w:val="en-US"/>
        </w:rPr>
        <w:t xml:space="preserve">. These problems </w:t>
      </w:r>
      <w:r w:rsidRPr="0034426D">
        <w:rPr>
          <w:sz w:val="24"/>
          <w:szCs w:val="24"/>
          <w:lang w:val="en-US"/>
        </w:rPr>
        <w:t xml:space="preserve">commonly </w:t>
      </w:r>
      <w:r w:rsidR="00275BC5" w:rsidRPr="0034426D">
        <w:rPr>
          <w:sz w:val="24"/>
          <w:szCs w:val="24"/>
          <w:lang w:val="en-US"/>
        </w:rPr>
        <w:t xml:space="preserve">lead to poor bioavailability and reduced </w:t>
      </w:r>
      <w:r w:rsidR="00275BC5" w:rsidRPr="0034426D">
        <w:rPr>
          <w:i/>
          <w:sz w:val="24"/>
          <w:szCs w:val="24"/>
          <w:lang w:val="en-US"/>
        </w:rPr>
        <w:t xml:space="preserve">in vivo </w:t>
      </w:r>
      <w:r w:rsidR="00275BC5" w:rsidRPr="0034426D">
        <w:rPr>
          <w:sz w:val="24"/>
          <w:szCs w:val="24"/>
          <w:lang w:val="en-US"/>
        </w:rPr>
        <w:t>activity</w:t>
      </w:r>
      <w:r w:rsidR="00910CE0" w:rsidRPr="0034426D">
        <w:rPr>
          <w:sz w:val="24"/>
          <w:szCs w:val="24"/>
          <w:lang w:val="en-US"/>
        </w:rPr>
        <w:t xml:space="preserve"> which</w:t>
      </w:r>
      <w:r w:rsidR="00275BC5" w:rsidRPr="0034426D">
        <w:rPr>
          <w:sz w:val="24"/>
          <w:szCs w:val="24"/>
          <w:lang w:val="en-US"/>
        </w:rPr>
        <w:t xml:space="preserve"> </w:t>
      </w:r>
      <w:r w:rsidR="0017366D" w:rsidRPr="0034426D">
        <w:rPr>
          <w:sz w:val="24"/>
          <w:szCs w:val="24"/>
          <w:lang w:val="en-US"/>
        </w:rPr>
        <w:t xml:space="preserve">further </w:t>
      </w:r>
      <w:r w:rsidR="00910CE0" w:rsidRPr="0034426D">
        <w:rPr>
          <w:sz w:val="24"/>
          <w:szCs w:val="24"/>
          <w:lang w:val="en-US"/>
        </w:rPr>
        <w:t xml:space="preserve">limits </w:t>
      </w:r>
      <w:r w:rsidRPr="0034426D">
        <w:rPr>
          <w:sz w:val="24"/>
          <w:szCs w:val="24"/>
          <w:lang w:val="en-US"/>
        </w:rPr>
        <w:t xml:space="preserve">the </w:t>
      </w:r>
      <w:r w:rsidR="00910CE0" w:rsidRPr="0034426D">
        <w:rPr>
          <w:sz w:val="24"/>
          <w:szCs w:val="24"/>
          <w:lang w:val="en-US"/>
        </w:rPr>
        <w:t xml:space="preserve">clinical applications </w:t>
      </w:r>
      <w:r w:rsidRPr="0034426D">
        <w:rPr>
          <w:sz w:val="24"/>
          <w:szCs w:val="24"/>
          <w:lang w:val="en-US"/>
        </w:rPr>
        <w:t xml:space="preserve">and </w:t>
      </w:r>
      <w:r w:rsidR="004755C1" w:rsidRPr="0034426D">
        <w:rPr>
          <w:sz w:val="24"/>
          <w:szCs w:val="24"/>
          <w:lang w:val="en-US"/>
        </w:rPr>
        <w:t>the therapeutic index</w:t>
      </w:r>
      <w:r w:rsidR="00910CE0" w:rsidRPr="0034426D">
        <w:rPr>
          <w:sz w:val="24"/>
          <w:szCs w:val="24"/>
          <w:lang w:val="en-US"/>
        </w:rPr>
        <w:t xml:space="preserve"> </w:t>
      </w:r>
      <w:r w:rsidR="000F6CFA" w:rsidRPr="0034426D">
        <w:rPr>
          <w:sz w:val="24"/>
          <w:szCs w:val="24"/>
          <w:lang w:val="en-US"/>
        </w:rPr>
        <w:t xml:space="preserve">of several drugs </w:t>
      </w:r>
      <w:r w:rsidR="00B306E2" w:rsidRPr="0034426D">
        <w:rPr>
          <w:sz w:val="24"/>
          <w:szCs w:val="24"/>
          <w:lang w:val="en-US"/>
        </w:rPr>
        <w:t>[2,</w:t>
      </w:r>
      <w:r w:rsidR="002977CC" w:rsidRPr="0034426D">
        <w:rPr>
          <w:sz w:val="24"/>
          <w:szCs w:val="24"/>
          <w:lang w:val="en-US"/>
        </w:rPr>
        <w:t>3]</w:t>
      </w:r>
      <w:r w:rsidR="00275BC5" w:rsidRPr="0034426D">
        <w:rPr>
          <w:sz w:val="24"/>
          <w:szCs w:val="24"/>
          <w:lang w:val="en-US"/>
        </w:rPr>
        <w:t>.</w:t>
      </w:r>
      <w:r w:rsidR="004755C1" w:rsidRPr="0034426D">
        <w:rPr>
          <w:sz w:val="24"/>
          <w:szCs w:val="24"/>
          <w:lang w:val="en-US"/>
        </w:rPr>
        <w:t xml:space="preserve"> Solutions to these problems cannot be found in </w:t>
      </w:r>
      <w:r w:rsidR="00275BC5" w:rsidRPr="0034426D">
        <w:rPr>
          <w:sz w:val="24"/>
          <w:szCs w:val="24"/>
          <w:lang w:val="en-US"/>
        </w:rPr>
        <w:t xml:space="preserve">either frequent </w:t>
      </w:r>
      <w:r w:rsidR="004755C1" w:rsidRPr="0034426D">
        <w:rPr>
          <w:sz w:val="24"/>
          <w:szCs w:val="24"/>
          <w:lang w:val="en-US"/>
        </w:rPr>
        <w:t>administrations</w:t>
      </w:r>
      <w:r w:rsidR="00275BC5" w:rsidRPr="0034426D">
        <w:rPr>
          <w:sz w:val="24"/>
          <w:szCs w:val="24"/>
          <w:lang w:val="en-US"/>
        </w:rPr>
        <w:t xml:space="preserve"> or </w:t>
      </w:r>
      <w:r w:rsidR="00910CE0" w:rsidRPr="0034426D">
        <w:rPr>
          <w:sz w:val="24"/>
          <w:szCs w:val="24"/>
          <w:lang w:val="en-US"/>
        </w:rPr>
        <w:t>high</w:t>
      </w:r>
      <w:r w:rsidR="00275BC5" w:rsidRPr="0034426D">
        <w:rPr>
          <w:sz w:val="24"/>
          <w:szCs w:val="24"/>
          <w:lang w:val="en-US"/>
        </w:rPr>
        <w:t xml:space="preserve"> dose to achieve the required therapeutic efficacy, </w:t>
      </w:r>
      <w:r w:rsidR="00C331B5" w:rsidRPr="0034426D">
        <w:rPr>
          <w:sz w:val="24"/>
          <w:szCs w:val="24"/>
          <w:lang w:val="en-US"/>
        </w:rPr>
        <w:t xml:space="preserve">since these </w:t>
      </w:r>
      <w:r w:rsidR="004755C1" w:rsidRPr="0034426D">
        <w:rPr>
          <w:sz w:val="24"/>
          <w:szCs w:val="24"/>
          <w:lang w:val="en-US"/>
        </w:rPr>
        <w:t>are associate</w:t>
      </w:r>
      <w:r w:rsidR="00A6148D" w:rsidRPr="0034426D">
        <w:rPr>
          <w:sz w:val="24"/>
          <w:szCs w:val="24"/>
          <w:lang w:val="en-US"/>
        </w:rPr>
        <w:t>d</w:t>
      </w:r>
      <w:r w:rsidR="004755C1" w:rsidRPr="0034426D">
        <w:rPr>
          <w:sz w:val="24"/>
          <w:szCs w:val="24"/>
          <w:lang w:val="en-US"/>
        </w:rPr>
        <w:t xml:space="preserve"> with </w:t>
      </w:r>
      <w:r w:rsidR="00C331B5" w:rsidRPr="0034426D">
        <w:rPr>
          <w:sz w:val="24"/>
          <w:szCs w:val="24"/>
          <w:lang w:val="en-US"/>
        </w:rPr>
        <w:t xml:space="preserve">significant side effects, </w:t>
      </w:r>
      <w:r w:rsidR="004755C1" w:rsidRPr="0034426D">
        <w:rPr>
          <w:sz w:val="24"/>
          <w:szCs w:val="24"/>
          <w:lang w:val="en-US"/>
        </w:rPr>
        <w:t>reduced</w:t>
      </w:r>
      <w:r w:rsidR="00910CE0" w:rsidRPr="0034426D">
        <w:rPr>
          <w:rFonts w:cs="Arial"/>
          <w:color w:val="000000"/>
          <w:sz w:val="24"/>
          <w:szCs w:val="24"/>
          <w:shd w:val="clear" w:color="auto" w:fill="FFFFFF"/>
          <w:lang w:val="en-US"/>
        </w:rPr>
        <w:t xml:space="preserve"> quality of life and compliance, besides the</w:t>
      </w:r>
      <w:r w:rsidR="00275BC5" w:rsidRPr="0034426D">
        <w:rPr>
          <w:rFonts w:cs="Arial"/>
          <w:color w:val="000000"/>
          <w:sz w:val="24"/>
          <w:szCs w:val="24"/>
          <w:shd w:val="clear" w:color="auto" w:fill="FFFFFF"/>
          <w:lang w:val="en-US"/>
        </w:rPr>
        <w:t xml:space="preserve"> inconvenient economic burden, </w:t>
      </w:r>
      <w:r w:rsidR="003E3E4C" w:rsidRPr="0034426D">
        <w:rPr>
          <w:rFonts w:cs="Arial"/>
          <w:color w:val="000000"/>
          <w:sz w:val="24"/>
          <w:szCs w:val="24"/>
          <w:shd w:val="clear" w:color="auto" w:fill="FFFFFF"/>
          <w:lang w:val="en-US"/>
        </w:rPr>
        <w:t>which decrease</w:t>
      </w:r>
      <w:r w:rsidR="007C4049" w:rsidRPr="0034426D">
        <w:rPr>
          <w:rFonts w:cs="Arial"/>
          <w:color w:val="000000"/>
          <w:sz w:val="24"/>
          <w:szCs w:val="24"/>
          <w:shd w:val="clear" w:color="auto" w:fill="FFFFFF"/>
          <w:lang w:val="en-US"/>
        </w:rPr>
        <w:t>s</w:t>
      </w:r>
      <w:r w:rsidR="003E3E4C" w:rsidRPr="0034426D">
        <w:rPr>
          <w:rFonts w:cs="Arial"/>
          <w:color w:val="000000"/>
          <w:sz w:val="24"/>
          <w:szCs w:val="24"/>
          <w:shd w:val="clear" w:color="auto" w:fill="FFFFFF"/>
          <w:lang w:val="en-US"/>
        </w:rPr>
        <w:t xml:space="preserve"> the benefit to risk ratio </w:t>
      </w:r>
      <w:r w:rsidR="002977CC" w:rsidRPr="0034426D">
        <w:rPr>
          <w:rFonts w:cs="Arial"/>
          <w:color w:val="000000"/>
          <w:sz w:val="24"/>
          <w:szCs w:val="24"/>
          <w:shd w:val="clear" w:color="auto" w:fill="FFFFFF"/>
          <w:lang w:val="en-US"/>
        </w:rPr>
        <w:lastRenderedPageBreak/>
        <w:t>[4]</w:t>
      </w:r>
      <w:r w:rsidR="003E3E4C" w:rsidRPr="0034426D">
        <w:rPr>
          <w:rFonts w:cs="Arial"/>
          <w:color w:val="000000"/>
          <w:sz w:val="24"/>
          <w:szCs w:val="24"/>
          <w:shd w:val="clear" w:color="auto" w:fill="FFFFFF"/>
          <w:lang w:val="en-US"/>
        </w:rPr>
        <w:t>.</w:t>
      </w:r>
      <w:r w:rsidR="004755C1" w:rsidRPr="0034426D">
        <w:rPr>
          <w:rFonts w:cs="Arial"/>
          <w:color w:val="000000"/>
          <w:sz w:val="24"/>
          <w:szCs w:val="24"/>
          <w:shd w:val="clear" w:color="auto" w:fill="FFFFFF"/>
          <w:lang w:val="en-US"/>
        </w:rPr>
        <w:t xml:space="preserve"> Instead,</w:t>
      </w:r>
      <w:r w:rsidR="004755C1" w:rsidRPr="0034426D">
        <w:rPr>
          <w:sz w:val="24"/>
          <w:szCs w:val="24"/>
          <w:lang w:val="en-US"/>
        </w:rPr>
        <w:t xml:space="preserve"> </w:t>
      </w:r>
      <w:r w:rsidR="00275BC5" w:rsidRPr="0034426D">
        <w:rPr>
          <w:sz w:val="24"/>
          <w:szCs w:val="24"/>
          <w:lang w:val="en-US"/>
        </w:rPr>
        <w:t>i</w:t>
      </w:r>
      <w:r w:rsidR="00275BC5" w:rsidRPr="0034426D">
        <w:rPr>
          <w:rFonts w:cs="AdvTT5235d5a9"/>
          <w:color w:val="000000"/>
          <w:sz w:val="24"/>
          <w:szCs w:val="24"/>
          <w:lang w:val="en-US"/>
        </w:rPr>
        <w:t>n order to ensure safety and ef</w:t>
      </w:r>
      <w:r w:rsidR="00275BC5" w:rsidRPr="0034426D">
        <w:rPr>
          <w:rFonts w:cs="AdvTT5235d5a9+fb"/>
          <w:color w:val="000000"/>
          <w:sz w:val="24"/>
          <w:szCs w:val="24"/>
          <w:lang w:val="en-US"/>
        </w:rPr>
        <w:t>fi</w:t>
      </w:r>
      <w:r w:rsidR="00275BC5" w:rsidRPr="0034426D">
        <w:rPr>
          <w:rFonts w:cs="AdvTT5235d5a9"/>
          <w:color w:val="000000"/>
          <w:sz w:val="24"/>
          <w:szCs w:val="24"/>
          <w:lang w:val="en-US"/>
        </w:rPr>
        <w:t xml:space="preserve">cacy, drugs </w:t>
      </w:r>
      <w:r w:rsidR="004755C1" w:rsidRPr="0034426D">
        <w:rPr>
          <w:rFonts w:cs="AdvTT5235d5a9"/>
          <w:color w:val="000000"/>
          <w:sz w:val="24"/>
          <w:szCs w:val="24"/>
          <w:lang w:val="en-US"/>
        </w:rPr>
        <w:t>should preferentially</w:t>
      </w:r>
      <w:r w:rsidR="00275BC5" w:rsidRPr="0034426D">
        <w:rPr>
          <w:rFonts w:cs="AdvTT5235d5a9"/>
          <w:color w:val="000000"/>
          <w:sz w:val="24"/>
          <w:szCs w:val="24"/>
          <w:lang w:val="en-US"/>
        </w:rPr>
        <w:t xml:space="preserve"> be delivered </w:t>
      </w:r>
      <w:r w:rsidR="003E3E4C" w:rsidRPr="0034426D">
        <w:rPr>
          <w:rFonts w:cs="AdvTT5235d5a9"/>
          <w:color w:val="000000"/>
          <w:sz w:val="24"/>
          <w:szCs w:val="24"/>
          <w:lang w:val="en-US"/>
        </w:rPr>
        <w:t xml:space="preserve">selectively </w:t>
      </w:r>
      <w:r w:rsidR="004755C1" w:rsidRPr="0034426D">
        <w:rPr>
          <w:rFonts w:cs="AdvTT5235d5a9"/>
          <w:color w:val="000000"/>
          <w:sz w:val="24"/>
          <w:szCs w:val="24"/>
          <w:lang w:val="en-US"/>
        </w:rPr>
        <w:t xml:space="preserve">to their target site </w:t>
      </w:r>
      <w:r w:rsidR="003E3E4C" w:rsidRPr="0034426D">
        <w:rPr>
          <w:rFonts w:cs="AdvTT5235d5a9"/>
          <w:color w:val="000000"/>
          <w:sz w:val="24"/>
          <w:szCs w:val="24"/>
          <w:lang w:val="en-US"/>
        </w:rPr>
        <w:t xml:space="preserve">and at an optimal </w:t>
      </w:r>
      <w:r w:rsidR="00C331B5" w:rsidRPr="0034426D">
        <w:rPr>
          <w:rFonts w:cs="AdvTT5235d5a9"/>
          <w:color w:val="000000"/>
          <w:sz w:val="24"/>
          <w:szCs w:val="24"/>
          <w:lang w:val="en-US"/>
        </w:rPr>
        <w:t>concentration</w:t>
      </w:r>
      <w:r w:rsidR="00275BC5" w:rsidRPr="0034426D">
        <w:rPr>
          <w:rFonts w:cs="AdvTT5235d5a9"/>
          <w:color w:val="000000"/>
          <w:sz w:val="24"/>
          <w:szCs w:val="24"/>
          <w:lang w:val="en-US"/>
        </w:rPr>
        <w:t xml:space="preserve">. In fact, lack of selectivity in biodistribution sometimes leads to unwanted side effects, particularly for drugs that have severe cytotoxicity </w:t>
      </w:r>
      <w:r w:rsidR="00C331B5" w:rsidRPr="0034426D">
        <w:rPr>
          <w:rFonts w:cs="AdvTT5235d5a9"/>
          <w:color w:val="000000"/>
          <w:sz w:val="24"/>
          <w:szCs w:val="24"/>
          <w:lang w:val="en-US"/>
        </w:rPr>
        <w:t xml:space="preserve">and/or induce drug resistance </w:t>
      </w:r>
      <w:r w:rsidR="002977CC" w:rsidRPr="0034426D">
        <w:rPr>
          <w:rFonts w:cs="AdvTT5235d5a9"/>
          <w:color w:val="000000"/>
          <w:sz w:val="24"/>
          <w:szCs w:val="24"/>
          <w:lang w:val="en-US"/>
        </w:rPr>
        <w:t>[5]</w:t>
      </w:r>
      <w:r w:rsidR="00483B96" w:rsidRPr="0034426D">
        <w:rPr>
          <w:rFonts w:cs="AdvTT5235d5a9"/>
          <w:color w:val="000000"/>
          <w:sz w:val="24"/>
          <w:szCs w:val="24"/>
          <w:lang w:val="en-US"/>
        </w:rPr>
        <w:t>.</w:t>
      </w:r>
    </w:p>
    <w:p w14:paraId="1B47856F" w14:textId="77777777" w:rsidR="00BE1C04" w:rsidRPr="0034426D" w:rsidRDefault="003223E6" w:rsidP="00CA6EE7">
      <w:pPr>
        <w:spacing w:after="0" w:line="360" w:lineRule="auto"/>
        <w:jc w:val="both"/>
        <w:rPr>
          <w:rFonts w:cs="AdvTT5235d5a9"/>
          <w:b/>
          <w:color w:val="000000"/>
          <w:sz w:val="24"/>
          <w:szCs w:val="24"/>
          <w:lang w:val="en-US"/>
        </w:rPr>
      </w:pPr>
      <w:r w:rsidRPr="0034426D">
        <w:rPr>
          <w:rFonts w:cs="AdvTT5235d5a9"/>
          <w:b/>
          <w:color w:val="000000"/>
          <w:sz w:val="24"/>
          <w:szCs w:val="24"/>
          <w:lang w:val="en-US"/>
        </w:rPr>
        <w:t>1.</w:t>
      </w:r>
      <w:r w:rsidR="00054C6C" w:rsidRPr="0034426D">
        <w:rPr>
          <w:rFonts w:cs="AdvTT5235d5a9"/>
          <w:b/>
          <w:color w:val="000000"/>
          <w:sz w:val="24"/>
          <w:szCs w:val="24"/>
          <w:lang w:val="en-US"/>
        </w:rPr>
        <w:t>1</w:t>
      </w:r>
      <w:r w:rsidRPr="0034426D">
        <w:rPr>
          <w:rFonts w:cs="AdvTT5235d5a9"/>
          <w:b/>
          <w:color w:val="000000"/>
          <w:sz w:val="24"/>
          <w:szCs w:val="24"/>
          <w:lang w:val="en-US"/>
        </w:rPr>
        <w:t xml:space="preserve"> Intravascular contrasting agents</w:t>
      </w:r>
    </w:p>
    <w:p w14:paraId="21D6AB73" w14:textId="77777777" w:rsidR="0067232C" w:rsidRPr="0034426D" w:rsidRDefault="00275BC5" w:rsidP="00CA6EE7">
      <w:pPr>
        <w:pStyle w:val="Nessunaspaziatura"/>
        <w:spacing w:line="360" w:lineRule="auto"/>
        <w:jc w:val="both"/>
        <w:rPr>
          <w:sz w:val="24"/>
          <w:szCs w:val="24"/>
          <w:shd w:val="clear" w:color="auto" w:fill="FFFFFF"/>
          <w:lang w:val="en-US"/>
        </w:rPr>
      </w:pPr>
      <w:r w:rsidRPr="0034426D">
        <w:rPr>
          <w:sz w:val="24"/>
          <w:szCs w:val="24"/>
          <w:lang w:val="en-US"/>
        </w:rPr>
        <w:t xml:space="preserve">As well as for therapeutics, clinical success of </w:t>
      </w:r>
      <w:r w:rsidR="00C331B5" w:rsidRPr="0034426D">
        <w:rPr>
          <w:i/>
          <w:sz w:val="24"/>
          <w:szCs w:val="24"/>
          <w:lang w:val="en-US"/>
        </w:rPr>
        <w:t>in vivo</w:t>
      </w:r>
      <w:r w:rsidR="00C331B5" w:rsidRPr="0034426D">
        <w:rPr>
          <w:sz w:val="24"/>
          <w:szCs w:val="24"/>
          <w:lang w:val="en-US"/>
        </w:rPr>
        <w:t xml:space="preserve"> </w:t>
      </w:r>
      <w:r w:rsidRPr="0034426D">
        <w:rPr>
          <w:sz w:val="24"/>
          <w:szCs w:val="24"/>
          <w:lang w:val="en-US"/>
        </w:rPr>
        <w:t>diagnostics depends on various parameters: pharmacokinetic, short and long-term tolerability in the body, safety and functionality in the desired organ</w:t>
      </w:r>
      <w:r w:rsidR="00C331B5" w:rsidRPr="0034426D">
        <w:rPr>
          <w:sz w:val="24"/>
          <w:szCs w:val="24"/>
          <w:lang w:val="en-US"/>
        </w:rPr>
        <w:t xml:space="preserve">, </w:t>
      </w:r>
      <w:r w:rsidR="001808EA" w:rsidRPr="0034426D">
        <w:rPr>
          <w:sz w:val="24"/>
          <w:szCs w:val="24"/>
          <w:lang w:val="en-US"/>
        </w:rPr>
        <w:t>cell targeting</w:t>
      </w:r>
      <w:r w:rsidRPr="0034426D">
        <w:rPr>
          <w:sz w:val="24"/>
          <w:szCs w:val="24"/>
          <w:lang w:val="en-US"/>
        </w:rPr>
        <w:t xml:space="preserve">. </w:t>
      </w:r>
      <w:r w:rsidR="001808EA" w:rsidRPr="0034426D">
        <w:rPr>
          <w:rFonts w:cs="Times New Roman"/>
          <w:sz w:val="24"/>
          <w:szCs w:val="24"/>
          <w:lang w:val="en-US"/>
        </w:rPr>
        <w:t xml:space="preserve">The most common imaging modalities include Magnetic Resonance Imaging (MRI) </w:t>
      </w:r>
      <w:r w:rsidR="00111453" w:rsidRPr="0034426D">
        <w:rPr>
          <w:rFonts w:cs="Times New Roman"/>
          <w:sz w:val="24"/>
          <w:szCs w:val="24"/>
          <w:lang w:val="en-US"/>
        </w:rPr>
        <w:t>[</w:t>
      </w:r>
      <w:r w:rsidR="007A20E2" w:rsidRPr="0034426D">
        <w:rPr>
          <w:rFonts w:cs="Times New Roman"/>
          <w:sz w:val="24"/>
          <w:szCs w:val="24"/>
          <w:lang w:val="en-US"/>
        </w:rPr>
        <w:t>6</w:t>
      </w:r>
      <w:r w:rsidR="00111453" w:rsidRPr="0034426D">
        <w:rPr>
          <w:rFonts w:cs="Times New Roman"/>
          <w:sz w:val="24"/>
          <w:szCs w:val="24"/>
          <w:lang w:val="en-US"/>
        </w:rPr>
        <w:t>]</w:t>
      </w:r>
      <w:r w:rsidR="001808EA" w:rsidRPr="0034426D">
        <w:rPr>
          <w:rFonts w:cs="Times New Roman"/>
          <w:sz w:val="24"/>
          <w:szCs w:val="24"/>
          <w:lang w:val="en-US"/>
        </w:rPr>
        <w:t xml:space="preserve">, Computed Tomography (CT) </w:t>
      </w:r>
      <w:r w:rsidR="00111453" w:rsidRPr="0034426D">
        <w:rPr>
          <w:rFonts w:cs="Times New Roman"/>
          <w:sz w:val="24"/>
          <w:szCs w:val="24"/>
          <w:lang w:val="en-US"/>
        </w:rPr>
        <w:t>[</w:t>
      </w:r>
      <w:r w:rsidR="007A20E2" w:rsidRPr="0034426D">
        <w:rPr>
          <w:rFonts w:cs="Times New Roman"/>
          <w:sz w:val="24"/>
          <w:szCs w:val="24"/>
          <w:lang w:val="en-US"/>
        </w:rPr>
        <w:t>7</w:t>
      </w:r>
      <w:r w:rsidR="00111453" w:rsidRPr="0034426D">
        <w:rPr>
          <w:rFonts w:cs="Times New Roman"/>
          <w:sz w:val="24"/>
          <w:szCs w:val="24"/>
          <w:lang w:val="en-US"/>
        </w:rPr>
        <w:t>]</w:t>
      </w:r>
      <w:r w:rsidR="001808EA" w:rsidRPr="0034426D">
        <w:rPr>
          <w:rFonts w:cs="Times New Roman"/>
          <w:sz w:val="24"/>
          <w:szCs w:val="24"/>
          <w:lang w:val="en-US"/>
        </w:rPr>
        <w:t xml:space="preserve">, Single Photon Emission Computed Tomography (SPECT) </w:t>
      </w:r>
      <w:r w:rsidR="00111453" w:rsidRPr="0034426D">
        <w:rPr>
          <w:rFonts w:cs="Times New Roman"/>
          <w:sz w:val="24"/>
          <w:szCs w:val="24"/>
          <w:lang w:val="en-US"/>
        </w:rPr>
        <w:t>[</w:t>
      </w:r>
      <w:r w:rsidR="007A20E2" w:rsidRPr="0034426D">
        <w:rPr>
          <w:rFonts w:cs="Times New Roman"/>
          <w:sz w:val="24"/>
          <w:szCs w:val="24"/>
          <w:lang w:val="en-US"/>
        </w:rPr>
        <w:t>8</w:t>
      </w:r>
      <w:r w:rsidR="00111453" w:rsidRPr="0034426D">
        <w:rPr>
          <w:rFonts w:cs="Times New Roman"/>
          <w:sz w:val="24"/>
          <w:szCs w:val="24"/>
          <w:lang w:val="en-US"/>
        </w:rPr>
        <w:t>]</w:t>
      </w:r>
      <w:r w:rsidR="001808EA" w:rsidRPr="0034426D">
        <w:rPr>
          <w:rFonts w:cs="Times New Roman"/>
          <w:sz w:val="24"/>
          <w:szCs w:val="24"/>
          <w:lang w:val="en-US"/>
        </w:rPr>
        <w:t xml:space="preserve">, Positron Emission Tomography (PET) </w:t>
      </w:r>
      <w:r w:rsidR="00111453" w:rsidRPr="0034426D">
        <w:rPr>
          <w:rFonts w:cs="Times New Roman"/>
          <w:sz w:val="24"/>
          <w:szCs w:val="24"/>
          <w:lang w:val="en-US"/>
        </w:rPr>
        <w:t>[</w:t>
      </w:r>
      <w:r w:rsidR="007A20E2" w:rsidRPr="0034426D">
        <w:rPr>
          <w:rFonts w:cs="Times New Roman"/>
          <w:sz w:val="24"/>
          <w:szCs w:val="24"/>
          <w:lang w:val="en-US"/>
        </w:rPr>
        <w:t>9</w:t>
      </w:r>
      <w:r w:rsidR="00111453" w:rsidRPr="0034426D">
        <w:rPr>
          <w:rFonts w:cs="Times New Roman"/>
          <w:sz w:val="24"/>
          <w:szCs w:val="24"/>
          <w:lang w:val="en-US"/>
        </w:rPr>
        <w:t>]</w:t>
      </w:r>
      <w:r w:rsidR="001808EA" w:rsidRPr="0034426D">
        <w:rPr>
          <w:rFonts w:cs="Times New Roman"/>
          <w:sz w:val="24"/>
          <w:szCs w:val="24"/>
          <w:lang w:val="en-US"/>
        </w:rPr>
        <w:t xml:space="preserve">, Ultrasound (US) </w:t>
      </w:r>
      <w:r w:rsidR="00111453" w:rsidRPr="0034426D">
        <w:rPr>
          <w:rFonts w:cs="Times New Roman"/>
          <w:sz w:val="24"/>
          <w:szCs w:val="24"/>
          <w:lang w:val="en-US"/>
        </w:rPr>
        <w:t>[</w:t>
      </w:r>
      <w:r w:rsidR="007A20E2" w:rsidRPr="0034426D">
        <w:rPr>
          <w:rFonts w:cs="Times New Roman"/>
          <w:sz w:val="24"/>
          <w:szCs w:val="24"/>
          <w:lang w:val="en-US"/>
        </w:rPr>
        <w:t>10</w:t>
      </w:r>
      <w:r w:rsidR="00111453" w:rsidRPr="0034426D">
        <w:rPr>
          <w:rFonts w:cs="Times New Roman"/>
          <w:sz w:val="24"/>
          <w:szCs w:val="24"/>
          <w:lang w:val="en-US"/>
        </w:rPr>
        <w:t xml:space="preserve">] </w:t>
      </w:r>
      <w:r w:rsidR="001808EA" w:rsidRPr="0034426D">
        <w:rPr>
          <w:rFonts w:cs="Times New Roman"/>
          <w:sz w:val="24"/>
          <w:szCs w:val="24"/>
          <w:lang w:val="en-US"/>
        </w:rPr>
        <w:t xml:space="preserve">and Optical Imaging (OI) (bioluminescence and fluorescence) </w:t>
      </w:r>
      <w:r w:rsidR="00111453" w:rsidRPr="0034426D">
        <w:rPr>
          <w:rFonts w:cs="Times New Roman"/>
          <w:sz w:val="24"/>
          <w:szCs w:val="24"/>
          <w:lang w:val="en-US"/>
        </w:rPr>
        <w:t>[</w:t>
      </w:r>
      <w:r w:rsidR="007A20E2" w:rsidRPr="0034426D">
        <w:rPr>
          <w:rFonts w:cs="Times New Roman"/>
          <w:sz w:val="24"/>
          <w:szCs w:val="24"/>
          <w:lang w:val="en-US"/>
        </w:rPr>
        <w:t>11</w:t>
      </w:r>
      <w:r w:rsidR="00111453" w:rsidRPr="0034426D">
        <w:rPr>
          <w:rFonts w:cs="Times New Roman"/>
          <w:sz w:val="24"/>
          <w:szCs w:val="24"/>
          <w:lang w:val="en-US"/>
        </w:rPr>
        <w:t>]</w:t>
      </w:r>
      <w:r w:rsidR="001808EA" w:rsidRPr="0034426D">
        <w:rPr>
          <w:rFonts w:cs="Times New Roman"/>
          <w:sz w:val="24"/>
          <w:szCs w:val="24"/>
          <w:lang w:val="en-US"/>
        </w:rPr>
        <w:t>, as well as combinations of the same. Contrast agents are used to enhance visibility of specific tissues by increasing the signal</w:t>
      </w:r>
      <w:r w:rsidR="000F6CFA" w:rsidRPr="0034426D">
        <w:rPr>
          <w:rFonts w:cs="Times New Roman"/>
          <w:sz w:val="24"/>
          <w:szCs w:val="24"/>
          <w:lang w:val="en-US"/>
        </w:rPr>
        <w:t>-</w:t>
      </w:r>
      <w:r w:rsidR="001808EA" w:rsidRPr="0034426D">
        <w:rPr>
          <w:rFonts w:cs="Times New Roman"/>
          <w:sz w:val="24"/>
          <w:szCs w:val="24"/>
          <w:lang w:val="en-US"/>
        </w:rPr>
        <w:t>to</w:t>
      </w:r>
      <w:r w:rsidR="000F6CFA" w:rsidRPr="0034426D">
        <w:rPr>
          <w:rFonts w:cs="Times New Roman"/>
          <w:sz w:val="24"/>
          <w:szCs w:val="24"/>
          <w:lang w:val="en-US"/>
        </w:rPr>
        <w:t>-</w:t>
      </w:r>
      <w:r w:rsidR="001808EA" w:rsidRPr="0034426D">
        <w:rPr>
          <w:rFonts w:cs="Times New Roman"/>
          <w:sz w:val="24"/>
          <w:szCs w:val="24"/>
          <w:lang w:val="en-US"/>
        </w:rPr>
        <w:t xml:space="preserve">noise ratio </w:t>
      </w:r>
      <w:r w:rsidR="00AE5757" w:rsidRPr="0034426D">
        <w:rPr>
          <w:rFonts w:cs="Times New Roman"/>
          <w:sz w:val="24"/>
          <w:szCs w:val="24"/>
          <w:lang w:val="en-US"/>
        </w:rPr>
        <w:t>referred</w:t>
      </w:r>
      <w:r w:rsidR="001808EA" w:rsidRPr="0034426D">
        <w:rPr>
          <w:rFonts w:cs="Times New Roman"/>
          <w:sz w:val="24"/>
          <w:szCs w:val="24"/>
          <w:lang w:val="en-US"/>
        </w:rPr>
        <w:t xml:space="preserve"> to surrounding tissues</w:t>
      </w:r>
      <w:r w:rsidR="00AE5757" w:rsidRPr="0034426D">
        <w:rPr>
          <w:rFonts w:cs="Times New Roman"/>
          <w:sz w:val="24"/>
          <w:szCs w:val="24"/>
          <w:lang w:val="en-US"/>
        </w:rPr>
        <w:t>,</w:t>
      </w:r>
      <w:r w:rsidR="001808EA" w:rsidRPr="0034426D">
        <w:rPr>
          <w:rFonts w:cs="Times New Roman"/>
          <w:sz w:val="24"/>
          <w:szCs w:val="24"/>
          <w:lang w:val="en-US"/>
        </w:rPr>
        <w:t xml:space="preserve"> and therefore </w:t>
      </w:r>
      <w:r w:rsidR="000F6CFA" w:rsidRPr="0034426D">
        <w:rPr>
          <w:rFonts w:cs="Times New Roman"/>
          <w:sz w:val="24"/>
          <w:szCs w:val="24"/>
          <w:lang w:val="en-US"/>
        </w:rPr>
        <w:t xml:space="preserve">to </w:t>
      </w:r>
      <w:r w:rsidR="001808EA" w:rsidRPr="0034426D">
        <w:rPr>
          <w:rFonts w:cs="Times New Roman"/>
          <w:sz w:val="24"/>
          <w:szCs w:val="24"/>
          <w:lang w:val="en-US"/>
        </w:rPr>
        <w:t xml:space="preserve">provide clear discrimination between normal and pathological regions in areas of interest </w:t>
      </w:r>
      <w:r w:rsidR="00111453" w:rsidRPr="0034426D">
        <w:rPr>
          <w:rFonts w:cs="Times New Roman"/>
          <w:sz w:val="24"/>
          <w:szCs w:val="24"/>
          <w:lang w:val="en-US"/>
        </w:rPr>
        <w:t>[</w:t>
      </w:r>
      <w:r w:rsidR="007A20E2" w:rsidRPr="0034426D">
        <w:rPr>
          <w:rFonts w:cs="Times New Roman"/>
          <w:sz w:val="24"/>
          <w:szCs w:val="24"/>
          <w:lang w:val="en-US"/>
        </w:rPr>
        <w:t>12,13</w:t>
      </w:r>
      <w:r w:rsidR="00111453" w:rsidRPr="0034426D">
        <w:rPr>
          <w:rFonts w:cs="Times New Roman"/>
          <w:sz w:val="24"/>
          <w:szCs w:val="24"/>
          <w:lang w:val="en-US"/>
        </w:rPr>
        <w:t>]</w:t>
      </w:r>
      <w:r w:rsidR="000F6CFA" w:rsidRPr="0034426D">
        <w:rPr>
          <w:rFonts w:cs="Times New Roman"/>
          <w:sz w:val="24"/>
          <w:szCs w:val="24"/>
          <w:lang w:val="en-US"/>
        </w:rPr>
        <w:t>;</w:t>
      </w:r>
      <w:r w:rsidR="001808EA" w:rsidRPr="0034426D">
        <w:rPr>
          <w:rFonts w:cs="Times New Roman"/>
          <w:sz w:val="24"/>
          <w:szCs w:val="24"/>
          <w:lang w:val="en-US"/>
        </w:rPr>
        <w:t xml:space="preserve"> </w:t>
      </w:r>
      <w:r w:rsidRPr="0034426D">
        <w:rPr>
          <w:sz w:val="24"/>
          <w:szCs w:val="24"/>
          <w:shd w:val="clear" w:color="auto" w:fill="FFFFFF"/>
          <w:lang w:val="en-US"/>
        </w:rPr>
        <w:t>however, the optimum performance of</w:t>
      </w:r>
      <w:r w:rsidR="00F86ED5" w:rsidRPr="0034426D">
        <w:rPr>
          <w:rStyle w:val="apple-converted-space"/>
          <w:rFonts w:cs="Arial"/>
          <w:sz w:val="24"/>
          <w:szCs w:val="24"/>
          <w:shd w:val="clear" w:color="auto" w:fill="FFFFFF"/>
          <w:lang w:val="en-US"/>
        </w:rPr>
        <w:t xml:space="preserve"> </w:t>
      </w:r>
      <w:r w:rsidRPr="0034426D">
        <w:rPr>
          <w:rStyle w:val="highlight"/>
          <w:rFonts w:cs="Arial"/>
          <w:sz w:val="24"/>
          <w:szCs w:val="24"/>
          <w:shd w:val="clear" w:color="auto" w:fill="FFFFFF"/>
          <w:lang w:val="en-US"/>
        </w:rPr>
        <w:t>contrast</w:t>
      </w:r>
      <w:r w:rsidR="00F86ED5" w:rsidRPr="0034426D">
        <w:rPr>
          <w:rStyle w:val="apple-converted-space"/>
          <w:rFonts w:cs="Arial"/>
          <w:sz w:val="24"/>
          <w:szCs w:val="24"/>
          <w:shd w:val="clear" w:color="auto" w:fill="FFFFFF"/>
          <w:lang w:val="en-US"/>
        </w:rPr>
        <w:t xml:space="preserve"> </w:t>
      </w:r>
      <w:r w:rsidRPr="0034426D">
        <w:rPr>
          <w:sz w:val="24"/>
          <w:szCs w:val="24"/>
          <w:shd w:val="clear" w:color="auto" w:fill="FFFFFF"/>
          <w:lang w:val="en-US"/>
        </w:rPr>
        <w:t>agents</w:t>
      </w:r>
      <w:r w:rsidR="00C91F52">
        <w:rPr>
          <w:sz w:val="24"/>
          <w:szCs w:val="24"/>
          <w:shd w:val="clear" w:color="auto" w:fill="FFFFFF"/>
          <w:lang w:val="en-US"/>
        </w:rPr>
        <w:t xml:space="preserve"> </w:t>
      </w:r>
      <w:r w:rsidR="000F6CFA" w:rsidRPr="0034426D">
        <w:rPr>
          <w:sz w:val="24"/>
          <w:szCs w:val="24"/>
          <w:shd w:val="clear" w:color="auto" w:fill="FFFFFF"/>
          <w:lang w:val="en-US"/>
        </w:rPr>
        <w:t xml:space="preserve">has </w:t>
      </w:r>
      <w:r w:rsidRPr="0034426D">
        <w:rPr>
          <w:sz w:val="24"/>
          <w:szCs w:val="24"/>
          <w:shd w:val="clear" w:color="auto" w:fill="FFFFFF"/>
          <w:lang w:val="en-US"/>
        </w:rPr>
        <w:t xml:space="preserve">not yet </w:t>
      </w:r>
      <w:r w:rsidR="000F6CFA" w:rsidRPr="0034426D">
        <w:rPr>
          <w:sz w:val="24"/>
          <w:szCs w:val="24"/>
          <w:shd w:val="clear" w:color="auto" w:fill="FFFFFF"/>
          <w:lang w:val="en-US"/>
        </w:rPr>
        <w:t xml:space="preserve">been </w:t>
      </w:r>
      <w:r w:rsidRPr="0034426D">
        <w:rPr>
          <w:sz w:val="24"/>
          <w:szCs w:val="24"/>
          <w:shd w:val="clear" w:color="auto" w:fill="FFFFFF"/>
          <w:lang w:val="en-US"/>
        </w:rPr>
        <w:t xml:space="preserve">achieved since </w:t>
      </w:r>
      <w:r w:rsidRPr="0034426D">
        <w:rPr>
          <w:sz w:val="24"/>
          <w:szCs w:val="24"/>
          <w:lang w:val="en-US"/>
        </w:rPr>
        <w:t xml:space="preserve">there is always a competition between their desired distributions in specific organs and their highly active clearance mechanisms </w:t>
      </w:r>
      <w:r w:rsidR="00111453" w:rsidRPr="0034426D">
        <w:rPr>
          <w:sz w:val="24"/>
          <w:szCs w:val="24"/>
          <w:lang w:val="en-US"/>
        </w:rPr>
        <w:t>[</w:t>
      </w:r>
      <w:r w:rsidR="007A20E2" w:rsidRPr="0034426D">
        <w:rPr>
          <w:sz w:val="24"/>
          <w:szCs w:val="24"/>
          <w:lang w:val="en-US"/>
        </w:rPr>
        <w:t>14</w:t>
      </w:r>
      <w:r w:rsidR="00111453" w:rsidRPr="0034426D">
        <w:rPr>
          <w:sz w:val="24"/>
          <w:szCs w:val="24"/>
          <w:lang w:val="en-US"/>
        </w:rPr>
        <w:t>]</w:t>
      </w:r>
      <w:r w:rsidRPr="0034426D">
        <w:rPr>
          <w:sz w:val="24"/>
          <w:szCs w:val="24"/>
          <w:shd w:val="clear" w:color="auto" w:fill="FFFFFF"/>
          <w:lang w:val="en-US"/>
        </w:rPr>
        <w:t xml:space="preserve">. In fact, </w:t>
      </w:r>
      <w:r w:rsidRPr="0034426D">
        <w:rPr>
          <w:sz w:val="24"/>
          <w:szCs w:val="24"/>
          <w:lang w:val="en-US"/>
        </w:rPr>
        <w:t xml:space="preserve">the amount and distribution pattern </w:t>
      </w:r>
      <w:r w:rsidR="003E3E4C" w:rsidRPr="0034426D">
        <w:rPr>
          <w:sz w:val="24"/>
          <w:szCs w:val="24"/>
          <w:lang w:val="en-US"/>
        </w:rPr>
        <w:t>in different organs and tissues</w:t>
      </w:r>
      <w:r w:rsidR="000F6CFA" w:rsidRPr="0034426D">
        <w:rPr>
          <w:sz w:val="24"/>
          <w:szCs w:val="24"/>
          <w:lang w:val="en-US"/>
        </w:rPr>
        <w:t>,</w:t>
      </w:r>
      <w:r w:rsidRPr="0034426D">
        <w:rPr>
          <w:sz w:val="24"/>
          <w:szCs w:val="24"/>
          <w:lang w:val="en-US"/>
        </w:rPr>
        <w:t xml:space="preserve"> </w:t>
      </w:r>
      <w:r w:rsidRPr="0034426D">
        <w:rPr>
          <w:sz w:val="24"/>
          <w:szCs w:val="24"/>
          <w:shd w:val="clear" w:color="auto" w:fill="FFFFFF"/>
          <w:lang w:val="en-US"/>
        </w:rPr>
        <w:t xml:space="preserve">and </w:t>
      </w:r>
      <w:r w:rsidRPr="0034426D">
        <w:rPr>
          <w:sz w:val="24"/>
          <w:szCs w:val="24"/>
          <w:lang w:val="en-US"/>
        </w:rPr>
        <w:t>the rate of recognition and removal from the body</w:t>
      </w:r>
      <w:r w:rsidR="00111453" w:rsidRPr="0034426D">
        <w:rPr>
          <w:sz w:val="24"/>
          <w:szCs w:val="24"/>
          <w:lang w:val="en-US"/>
        </w:rPr>
        <w:t xml:space="preserve"> [</w:t>
      </w:r>
      <w:r w:rsidR="007A20E2" w:rsidRPr="0034426D">
        <w:rPr>
          <w:sz w:val="24"/>
          <w:szCs w:val="24"/>
          <w:lang w:val="en-US"/>
        </w:rPr>
        <w:t>15</w:t>
      </w:r>
      <w:r w:rsidR="00111453" w:rsidRPr="0034426D">
        <w:rPr>
          <w:sz w:val="24"/>
          <w:szCs w:val="24"/>
          <w:lang w:val="en-US"/>
        </w:rPr>
        <w:t>]</w:t>
      </w:r>
      <w:r w:rsidRPr="0034426D">
        <w:rPr>
          <w:sz w:val="24"/>
          <w:szCs w:val="24"/>
          <w:lang w:val="en-US"/>
        </w:rPr>
        <w:t xml:space="preserve"> </w:t>
      </w:r>
      <w:r w:rsidRPr="0034426D">
        <w:rPr>
          <w:sz w:val="24"/>
          <w:szCs w:val="24"/>
          <w:shd w:val="clear" w:color="auto" w:fill="FFFFFF"/>
          <w:lang w:val="en-US"/>
        </w:rPr>
        <w:t xml:space="preserve">should be considered important criteria that determine how long a </w:t>
      </w:r>
      <w:r w:rsidRPr="0034426D">
        <w:rPr>
          <w:rStyle w:val="highlight"/>
          <w:rFonts w:cs="Arial"/>
          <w:sz w:val="24"/>
          <w:szCs w:val="24"/>
          <w:shd w:val="clear" w:color="auto" w:fill="FFFFFF"/>
          <w:lang w:val="en-US"/>
        </w:rPr>
        <w:t>contrast agent</w:t>
      </w:r>
      <w:r w:rsidR="00F86ED5" w:rsidRPr="0034426D">
        <w:rPr>
          <w:rStyle w:val="apple-converted-space"/>
          <w:rFonts w:cs="Arial"/>
          <w:sz w:val="24"/>
          <w:szCs w:val="24"/>
          <w:shd w:val="clear" w:color="auto" w:fill="FFFFFF"/>
          <w:lang w:val="en-US"/>
        </w:rPr>
        <w:t xml:space="preserve"> </w:t>
      </w:r>
      <w:r w:rsidR="000F6CFA" w:rsidRPr="0034426D">
        <w:rPr>
          <w:rStyle w:val="apple-converted-space"/>
          <w:rFonts w:cs="Arial"/>
          <w:sz w:val="24"/>
          <w:szCs w:val="24"/>
          <w:shd w:val="clear" w:color="auto" w:fill="FFFFFF"/>
          <w:lang w:val="en-US"/>
        </w:rPr>
        <w:t xml:space="preserve">takes to </w:t>
      </w:r>
      <w:r w:rsidRPr="0034426D">
        <w:rPr>
          <w:sz w:val="24"/>
          <w:szCs w:val="24"/>
          <w:shd w:val="clear" w:color="auto" w:fill="FFFFFF"/>
          <w:lang w:val="en-US"/>
        </w:rPr>
        <w:t xml:space="preserve">reach the signal peak and the retention time of the signal after </w:t>
      </w:r>
      <w:r w:rsidR="003E3E4C" w:rsidRPr="0034426D">
        <w:rPr>
          <w:sz w:val="24"/>
          <w:szCs w:val="24"/>
          <w:shd w:val="clear" w:color="auto" w:fill="FFFFFF"/>
          <w:lang w:val="en-US"/>
        </w:rPr>
        <w:t xml:space="preserve">its </w:t>
      </w:r>
      <w:r w:rsidRPr="0034426D">
        <w:rPr>
          <w:sz w:val="24"/>
          <w:szCs w:val="24"/>
          <w:shd w:val="clear" w:color="auto" w:fill="FFFFFF"/>
          <w:lang w:val="en-US"/>
        </w:rPr>
        <w:t xml:space="preserve">intravenous injection </w:t>
      </w:r>
      <w:r w:rsidR="00111453" w:rsidRPr="0034426D">
        <w:rPr>
          <w:sz w:val="24"/>
          <w:szCs w:val="24"/>
          <w:shd w:val="clear" w:color="auto" w:fill="FFFFFF"/>
          <w:lang w:val="en-US"/>
        </w:rPr>
        <w:t>[</w:t>
      </w:r>
      <w:r w:rsidR="007A20E2" w:rsidRPr="0034426D">
        <w:rPr>
          <w:sz w:val="24"/>
          <w:szCs w:val="24"/>
          <w:shd w:val="clear" w:color="auto" w:fill="FFFFFF"/>
          <w:lang w:val="en-US"/>
        </w:rPr>
        <w:t>16</w:t>
      </w:r>
      <w:r w:rsidR="00D35C31" w:rsidRPr="0034426D">
        <w:rPr>
          <w:sz w:val="24"/>
          <w:szCs w:val="24"/>
          <w:shd w:val="clear" w:color="auto" w:fill="FFFFFF"/>
          <w:lang w:val="en-US"/>
        </w:rPr>
        <w:t>]</w:t>
      </w:r>
      <w:r w:rsidR="00F86ED5" w:rsidRPr="0034426D">
        <w:rPr>
          <w:sz w:val="24"/>
          <w:szCs w:val="24"/>
          <w:shd w:val="clear" w:color="auto" w:fill="FFFFFF"/>
          <w:lang w:val="en-US"/>
        </w:rPr>
        <w:t>.</w:t>
      </w:r>
    </w:p>
    <w:p w14:paraId="437C1020" w14:textId="77777777" w:rsidR="00275BC5" w:rsidRPr="0034426D" w:rsidRDefault="00275BC5" w:rsidP="00CA6EE7">
      <w:pPr>
        <w:pStyle w:val="Nessunaspaziatura"/>
        <w:spacing w:line="360" w:lineRule="auto"/>
        <w:jc w:val="both"/>
        <w:rPr>
          <w:rFonts w:cs="AdvOT9b12cd41"/>
          <w:sz w:val="24"/>
          <w:szCs w:val="24"/>
          <w:lang w:val="en-US"/>
        </w:rPr>
      </w:pPr>
      <w:r w:rsidRPr="0034426D">
        <w:rPr>
          <w:sz w:val="24"/>
          <w:szCs w:val="24"/>
          <w:lang w:val="en-US"/>
        </w:rPr>
        <w:t xml:space="preserve">Knowing these parameters is crucial to enhance the expected functionality and to mediate the fate </w:t>
      </w:r>
      <w:r w:rsidRPr="0034426D">
        <w:rPr>
          <w:sz w:val="24"/>
          <w:szCs w:val="24"/>
          <w:shd w:val="clear" w:color="auto" w:fill="FFFFFF"/>
          <w:lang w:val="en-US"/>
        </w:rPr>
        <w:t>of a</w:t>
      </w:r>
      <w:r w:rsidR="00F86ED5" w:rsidRPr="0034426D">
        <w:rPr>
          <w:rStyle w:val="apple-converted-space"/>
          <w:rFonts w:cs="Arial"/>
          <w:sz w:val="24"/>
          <w:szCs w:val="24"/>
          <w:shd w:val="clear" w:color="auto" w:fill="FFFFFF"/>
          <w:lang w:val="en-US"/>
        </w:rPr>
        <w:t xml:space="preserve"> </w:t>
      </w:r>
      <w:r w:rsidRPr="0034426D">
        <w:rPr>
          <w:rStyle w:val="highlight"/>
          <w:rFonts w:cs="Arial"/>
          <w:sz w:val="24"/>
          <w:szCs w:val="24"/>
          <w:shd w:val="clear" w:color="auto" w:fill="FFFFFF"/>
          <w:lang w:val="en-US"/>
        </w:rPr>
        <w:t>contrast agent</w:t>
      </w:r>
      <w:r w:rsidR="00F86ED5" w:rsidRPr="0034426D">
        <w:rPr>
          <w:rStyle w:val="apple-converted-space"/>
          <w:rFonts w:cs="Arial"/>
          <w:sz w:val="24"/>
          <w:szCs w:val="24"/>
          <w:shd w:val="clear" w:color="auto" w:fill="FFFFFF"/>
          <w:lang w:val="en-US"/>
        </w:rPr>
        <w:t xml:space="preserve"> </w:t>
      </w:r>
      <w:r w:rsidRPr="0034426D">
        <w:rPr>
          <w:sz w:val="24"/>
          <w:szCs w:val="24"/>
          <w:shd w:val="clear" w:color="auto" w:fill="FFFFFF"/>
          <w:lang w:val="en-US"/>
        </w:rPr>
        <w:t>in the body</w:t>
      </w:r>
      <w:r w:rsidRPr="0034426D">
        <w:rPr>
          <w:sz w:val="24"/>
          <w:szCs w:val="24"/>
          <w:lang w:val="en-US"/>
        </w:rPr>
        <w:t xml:space="preserve"> </w:t>
      </w:r>
      <w:r w:rsidR="00111453" w:rsidRPr="0034426D">
        <w:rPr>
          <w:sz w:val="24"/>
          <w:szCs w:val="24"/>
          <w:lang w:val="en-US"/>
        </w:rPr>
        <w:t>[</w:t>
      </w:r>
      <w:r w:rsidR="007A20E2" w:rsidRPr="0034426D">
        <w:rPr>
          <w:sz w:val="24"/>
          <w:szCs w:val="24"/>
          <w:lang w:val="en-US"/>
        </w:rPr>
        <w:t>17</w:t>
      </w:r>
      <w:r w:rsidR="00111453" w:rsidRPr="0034426D">
        <w:rPr>
          <w:sz w:val="24"/>
          <w:szCs w:val="24"/>
          <w:lang w:val="en-US"/>
        </w:rPr>
        <w:t>]</w:t>
      </w:r>
      <w:r w:rsidRPr="0034426D">
        <w:rPr>
          <w:rFonts w:cs="AdvOT9b12cd41"/>
          <w:sz w:val="24"/>
          <w:szCs w:val="24"/>
          <w:lang w:val="en-US"/>
        </w:rPr>
        <w:t>.</w:t>
      </w:r>
    </w:p>
    <w:p w14:paraId="0983820E" w14:textId="77777777" w:rsidR="00054C6C" w:rsidRPr="0034426D" w:rsidRDefault="00054C6C" w:rsidP="00054C6C">
      <w:pPr>
        <w:autoSpaceDE w:val="0"/>
        <w:autoSpaceDN w:val="0"/>
        <w:adjustRightInd w:val="0"/>
        <w:spacing w:after="0" w:line="360" w:lineRule="auto"/>
        <w:jc w:val="both"/>
        <w:rPr>
          <w:b/>
          <w:sz w:val="24"/>
          <w:szCs w:val="24"/>
          <w:lang w:val="en-US"/>
        </w:rPr>
      </w:pPr>
    </w:p>
    <w:p w14:paraId="1521122E" w14:textId="77777777" w:rsidR="00054C6C" w:rsidRPr="0034426D" w:rsidRDefault="00054C6C" w:rsidP="00054C6C">
      <w:pPr>
        <w:autoSpaceDE w:val="0"/>
        <w:autoSpaceDN w:val="0"/>
        <w:adjustRightInd w:val="0"/>
        <w:spacing w:after="0" w:line="360" w:lineRule="auto"/>
        <w:jc w:val="both"/>
        <w:rPr>
          <w:b/>
          <w:sz w:val="24"/>
          <w:szCs w:val="24"/>
          <w:lang w:val="en-US"/>
        </w:rPr>
      </w:pPr>
      <w:r w:rsidRPr="0034426D">
        <w:rPr>
          <w:b/>
          <w:sz w:val="24"/>
          <w:szCs w:val="24"/>
          <w:lang w:val="en-US"/>
        </w:rPr>
        <w:t>1.2 The emergence of cell-based delivery systems</w:t>
      </w:r>
    </w:p>
    <w:p w14:paraId="30C31FF1" w14:textId="77777777" w:rsidR="00054C6C" w:rsidRPr="0034426D" w:rsidRDefault="00054C6C" w:rsidP="00054C6C">
      <w:pPr>
        <w:autoSpaceDE w:val="0"/>
        <w:autoSpaceDN w:val="0"/>
        <w:adjustRightInd w:val="0"/>
        <w:spacing w:after="0" w:line="360" w:lineRule="auto"/>
        <w:jc w:val="both"/>
        <w:rPr>
          <w:rFonts w:cs="Arial"/>
          <w:color w:val="000000"/>
          <w:sz w:val="24"/>
          <w:szCs w:val="24"/>
          <w:shd w:val="clear" w:color="auto" w:fill="FFFFFF"/>
          <w:lang w:val="en-US"/>
        </w:rPr>
      </w:pPr>
      <w:r w:rsidRPr="0034426D">
        <w:rPr>
          <w:sz w:val="24"/>
          <w:szCs w:val="24"/>
          <w:lang w:val="en-US"/>
        </w:rPr>
        <w:t xml:space="preserve">A possible and interesting solution to overcome restrictions related to the use of drugs and contrast agents lies in the exploitation of cell-mediated drug delivery systems (DDS) that is an emerging and promising strategy to address the above challenges. Numerous are </w:t>
      </w:r>
      <w:r w:rsidR="000F6CFA" w:rsidRPr="0034426D">
        <w:rPr>
          <w:sz w:val="24"/>
          <w:szCs w:val="24"/>
          <w:lang w:val="en-US"/>
        </w:rPr>
        <w:t xml:space="preserve">the </w:t>
      </w:r>
      <w:r w:rsidRPr="0034426D">
        <w:rPr>
          <w:sz w:val="24"/>
          <w:szCs w:val="24"/>
          <w:lang w:val="en-US"/>
        </w:rPr>
        <w:t xml:space="preserve">DDS based on circulating cells like recently described in detail by Su Y. et al. 2015 </w:t>
      </w:r>
      <w:r w:rsidRPr="0034426D">
        <w:rPr>
          <w:rFonts w:cs="AdvOTce3d9a73"/>
          <w:sz w:val="24"/>
          <w:szCs w:val="24"/>
          <w:lang w:val="en-US"/>
        </w:rPr>
        <w:t>[</w:t>
      </w:r>
      <w:r w:rsidR="007A20E2" w:rsidRPr="0034426D">
        <w:rPr>
          <w:rFonts w:cs="AdvOTce3d9a73"/>
          <w:sz w:val="24"/>
          <w:szCs w:val="24"/>
          <w:lang w:val="en-US"/>
        </w:rPr>
        <w:t>18</w:t>
      </w:r>
      <w:r w:rsidRPr="0034426D">
        <w:rPr>
          <w:rFonts w:cs="AdvOTce3d9a73"/>
          <w:sz w:val="24"/>
          <w:szCs w:val="24"/>
          <w:lang w:val="en-US"/>
        </w:rPr>
        <w:t xml:space="preserve">]. Among them, erythrocytes stand out to be the most appealing </w:t>
      </w:r>
      <w:r w:rsidRPr="0034426D">
        <w:rPr>
          <w:rFonts w:cs="Arial"/>
          <w:color w:val="000000"/>
          <w:sz w:val="24"/>
          <w:szCs w:val="24"/>
          <w:shd w:val="clear" w:color="auto" w:fill="FFFFFF"/>
          <w:lang w:val="en-US"/>
        </w:rPr>
        <w:t>in order to improve the pharmacokinetic</w:t>
      </w:r>
      <w:r w:rsidR="004D2BC0" w:rsidRPr="0034426D">
        <w:rPr>
          <w:rFonts w:cs="Arial"/>
          <w:color w:val="000000"/>
          <w:sz w:val="24"/>
          <w:szCs w:val="24"/>
          <w:shd w:val="clear" w:color="auto" w:fill="FFFFFF"/>
          <w:lang w:val="en-US"/>
        </w:rPr>
        <w:t>s</w:t>
      </w:r>
      <w:r w:rsidRPr="0034426D">
        <w:rPr>
          <w:rFonts w:cs="Arial"/>
          <w:color w:val="000000"/>
          <w:sz w:val="24"/>
          <w:szCs w:val="24"/>
          <w:shd w:val="clear" w:color="auto" w:fill="FFFFFF"/>
          <w:lang w:val="en-US"/>
        </w:rPr>
        <w:t>, biodistribution and pharmacodynamic</w:t>
      </w:r>
      <w:r w:rsidR="000F6CFA" w:rsidRPr="0034426D">
        <w:rPr>
          <w:rFonts w:cs="Arial"/>
          <w:color w:val="000000"/>
          <w:sz w:val="24"/>
          <w:szCs w:val="24"/>
          <w:shd w:val="clear" w:color="auto" w:fill="FFFFFF"/>
          <w:lang w:val="en-US"/>
        </w:rPr>
        <w:t>s</w:t>
      </w:r>
      <w:r w:rsidRPr="0034426D">
        <w:rPr>
          <w:rFonts w:cs="Arial"/>
          <w:color w:val="000000"/>
          <w:sz w:val="24"/>
          <w:szCs w:val="24"/>
          <w:shd w:val="clear" w:color="auto" w:fill="FFFFFF"/>
          <w:lang w:val="en-US"/>
        </w:rPr>
        <w:t xml:space="preserve"> of therapeutics or diagnostics.</w:t>
      </w:r>
    </w:p>
    <w:p w14:paraId="48AD20FD" w14:textId="77777777" w:rsidR="00054C6C" w:rsidRPr="0034426D" w:rsidRDefault="00054C6C" w:rsidP="00054C6C">
      <w:pPr>
        <w:spacing w:after="0" w:line="360" w:lineRule="auto"/>
        <w:jc w:val="both"/>
        <w:rPr>
          <w:rFonts w:cs="Arial"/>
          <w:color w:val="000000"/>
          <w:sz w:val="24"/>
          <w:szCs w:val="24"/>
          <w:shd w:val="clear" w:color="auto" w:fill="FFFFFF"/>
          <w:lang w:val="en-US"/>
        </w:rPr>
      </w:pPr>
      <w:r w:rsidRPr="0034426D">
        <w:rPr>
          <w:rFonts w:cs="Arial"/>
          <w:color w:val="000000"/>
          <w:sz w:val="24"/>
          <w:szCs w:val="24"/>
          <w:shd w:val="clear" w:color="auto" w:fill="FFFFFF"/>
          <w:lang w:val="en-US"/>
        </w:rPr>
        <w:t>Inherent biochemical and biophysical properties of red blood cells (</w:t>
      </w:r>
      <w:r w:rsidR="00403539" w:rsidRPr="0034426D">
        <w:rPr>
          <w:rFonts w:cs="Arial"/>
          <w:color w:val="000000"/>
          <w:sz w:val="24"/>
          <w:szCs w:val="24"/>
          <w:shd w:val="clear" w:color="auto" w:fill="FFFFFF"/>
          <w:lang w:val="en-US"/>
        </w:rPr>
        <w:t xml:space="preserve">RBCs or </w:t>
      </w:r>
      <w:r w:rsidRPr="0034426D">
        <w:rPr>
          <w:rFonts w:cs="Arial"/>
          <w:color w:val="000000"/>
          <w:sz w:val="24"/>
          <w:szCs w:val="24"/>
          <w:shd w:val="clear" w:color="auto" w:fill="FFFFFF"/>
          <w:lang w:val="en-US"/>
        </w:rPr>
        <w:t>erythrocytes) make them an ideal</w:t>
      </w:r>
      <w:r w:rsidRPr="0034426D">
        <w:rPr>
          <w:rStyle w:val="apple-converted-space"/>
          <w:rFonts w:cs="Arial"/>
          <w:color w:val="000000"/>
          <w:sz w:val="24"/>
          <w:szCs w:val="24"/>
          <w:shd w:val="clear" w:color="auto" w:fill="FFFFFF"/>
          <w:lang w:val="en-US"/>
        </w:rPr>
        <w:t xml:space="preserve"> </w:t>
      </w:r>
      <w:r w:rsidRPr="0034426D">
        <w:rPr>
          <w:rStyle w:val="highlight"/>
          <w:rFonts w:cs="Arial"/>
          <w:color w:val="000000"/>
          <w:sz w:val="24"/>
          <w:szCs w:val="24"/>
          <w:shd w:val="clear" w:color="auto" w:fill="FFFFFF"/>
          <w:lang w:val="en-US"/>
        </w:rPr>
        <w:t>drug</w:t>
      </w:r>
      <w:r w:rsidRPr="0034426D">
        <w:rPr>
          <w:rStyle w:val="apple-converted-space"/>
          <w:rFonts w:cs="Arial"/>
          <w:color w:val="000000"/>
          <w:sz w:val="24"/>
          <w:szCs w:val="24"/>
          <w:shd w:val="clear" w:color="auto" w:fill="FFFFFF"/>
          <w:lang w:val="en-US"/>
        </w:rPr>
        <w:t xml:space="preserve"> </w:t>
      </w:r>
      <w:r w:rsidRPr="0034426D">
        <w:rPr>
          <w:rFonts w:cs="Arial"/>
          <w:color w:val="000000"/>
          <w:sz w:val="24"/>
          <w:szCs w:val="24"/>
          <w:shd w:val="clear" w:color="auto" w:fill="FFFFFF"/>
          <w:lang w:val="en-US"/>
        </w:rPr>
        <w:t>delivery platform: RBC-based therapies have a significant advantage over alternative technologies in terms of</w:t>
      </w:r>
      <w:r w:rsidRPr="0034426D">
        <w:rPr>
          <w:rStyle w:val="apple-converted-space"/>
          <w:rFonts w:cs="Arial"/>
          <w:color w:val="000000"/>
          <w:sz w:val="24"/>
          <w:szCs w:val="24"/>
          <w:shd w:val="clear" w:color="auto" w:fill="FFFFFF"/>
          <w:lang w:val="en-US"/>
        </w:rPr>
        <w:t xml:space="preserve"> </w:t>
      </w:r>
      <w:r w:rsidRPr="0034426D">
        <w:rPr>
          <w:rStyle w:val="highlight"/>
          <w:rFonts w:cs="Arial"/>
          <w:color w:val="000000"/>
          <w:sz w:val="24"/>
          <w:szCs w:val="24"/>
          <w:shd w:val="clear" w:color="auto" w:fill="FFFFFF"/>
          <w:lang w:val="en-US"/>
        </w:rPr>
        <w:t>half-life</w:t>
      </w:r>
      <w:r w:rsidRPr="0034426D">
        <w:rPr>
          <w:rFonts w:cs="Arial"/>
          <w:color w:val="000000"/>
          <w:sz w:val="24"/>
          <w:szCs w:val="24"/>
          <w:shd w:val="clear" w:color="auto" w:fill="FFFFFF"/>
          <w:lang w:val="en-US"/>
        </w:rPr>
        <w:t xml:space="preserve">, stability, versatility, safety and ease of manufacture. </w:t>
      </w:r>
      <w:r w:rsidRPr="0034426D">
        <w:rPr>
          <w:rFonts w:cs="Arial"/>
          <w:color w:val="000000"/>
          <w:sz w:val="24"/>
          <w:szCs w:val="24"/>
          <w:shd w:val="clear" w:color="auto" w:fill="FFFFFF"/>
          <w:lang w:val="en-US"/>
        </w:rPr>
        <w:lastRenderedPageBreak/>
        <w:t>Thanks to their remarkable long life-span in circulation they act as potential reservoir</w:t>
      </w:r>
      <w:r w:rsidR="000F6CFA" w:rsidRPr="0034426D">
        <w:rPr>
          <w:rFonts w:cs="Arial"/>
          <w:color w:val="000000"/>
          <w:sz w:val="24"/>
          <w:szCs w:val="24"/>
          <w:shd w:val="clear" w:color="auto" w:fill="FFFFFF"/>
          <w:lang w:val="en-US"/>
        </w:rPr>
        <w:t>s</w:t>
      </w:r>
      <w:r w:rsidRPr="0034426D">
        <w:rPr>
          <w:rFonts w:cs="Arial"/>
          <w:color w:val="000000"/>
          <w:sz w:val="24"/>
          <w:szCs w:val="24"/>
          <w:shd w:val="clear" w:color="auto" w:fill="FFFFFF"/>
          <w:lang w:val="en-US"/>
        </w:rPr>
        <w:t xml:space="preserve"> for a slow, controlled and sustained release of valuable payloads, performing both as passive carriers </w:t>
      </w:r>
      <w:r w:rsidRPr="0034426D">
        <w:rPr>
          <w:rFonts w:cs="AdvTT5235d5a9"/>
          <w:sz w:val="24"/>
          <w:szCs w:val="24"/>
          <w:lang w:val="en-US"/>
        </w:rPr>
        <w:t xml:space="preserve">(e.g. proteins or diagnostics) </w:t>
      </w:r>
      <w:r w:rsidRPr="0034426D">
        <w:rPr>
          <w:rFonts w:cs="Arial"/>
          <w:color w:val="000000"/>
          <w:sz w:val="24"/>
          <w:szCs w:val="24"/>
          <w:shd w:val="clear" w:color="auto" w:fill="FFFFFF"/>
          <w:lang w:val="en-US"/>
        </w:rPr>
        <w:t xml:space="preserve">or as active bioreactors </w:t>
      </w:r>
      <w:r w:rsidRPr="0034426D">
        <w:rPr>
          <w:sz w:val="24"/>
          <w:szCs w:val="24"/>
          <w:lang w:val="en-US"/>
        </w:rPr>
        <w:t xml:space="preserve">due to the enzymatic systems that their possess </w:t>
      </w:r>
      <w:r w:rsidRPr="0034426D">
        <w:rPr>
          <w:rFonts w:cs="Arial"/>
          <w:color w:val="000000"/>
          <w:sz w:val="24"/>
          <w:szCs w:val="24"/>
          <w:shd w:val="clear" w:color="auto" w:fill="FFFFFF"/>
          <w:lang w:val="en-US"/>
        </w:rPr>
        <w:t>(e.g. prodrugs)</w:t>
      </w:r>
      <w:r w:rsidRPr="0034426D">
        <w:rPr>
          <w:sz w:val="24"/>
          <w:szCs w:val="24"/>
          <w:lang w:val="en-US"/>
        </w:rPr>
        <w:t xml:space="preserve"> [</w:t>
      </w:r>
      <w:r w:rsidR="007A20E2" w:rsidRPr="0034426D">
        <w:rPr>
          <w:sz w:val="24"/>
          <w:szCs w:val="24"/>
          <w:lang w:val="en-US"/>
        </w:rPr>
        <w:t>19</w:t>
      </w:r>
      <w:r w:rsidRPr="0034426D">
        <w:rPr>
          <w:sz w:val="24"/>
          <w:szCs w:val="24"/>
          <w:lang w:val="en-US"/>
        </w:rPr>
        <w:t>]</w:t>
      </w:r>
      <w:r w:rsidRPr="0034426D">
        <w:rPr>
          <w:rFonts w:cs="Arial"/>
          <w:color w:val="000000"/>
          <w:sz w:val="24"/>
          <w:szCs w:val="24"/>
          <w:shd w:val="clear" w:color="auto" w:fill="FFFFFF"/>
          <w:lang w:val="en-US"/>
        </w:rPr>
        <w:t>. P</w:t>
      </w:r>
      <w:r w:rsidRPr="0034426D">
        <w:rPr>
          <w:rFonts w:cs="AdvTT5235d5a9"/>
          <w:sz w:val="24"/>
          <w:szCs w:val="24"/>
          <w:lang w:val="en-US"/>
        </w:rPr>
        <w:t xml:space="preserve">rolonged retention time in blood can provide a chance to extend </w:t>
      </w:r>
      <w:r w:rsidR="000F6CFA" w:rsidRPr="0034426D">
        <w:rPr>
          <w:rFonts w:cs="AdvTT5235d5a9"/>
          <w:sz w:val="24"/>
          <w:szCs w:val="24"/>
          <w:lang w:val="en-US"/>
        </w:rPr>
        <w:t xml:space="preserve">the </w:t>
      </w:r>
      <w:r w:rsidRPr="0034426D">
        <w:rPr>
          <w:rFonts w:cs="AdvTT5235d5a9"/>
          <w:sz w:val="24"/>
          <w:szCs w:val="24"/>
          <w:lang w:val="en-US"/>
        </w:rPr>
        <w:t xml:space="preserve">duration of pharmacological activity both to increase </w:t>
      </w:r>
      <w:r w:rsidR="000F6CFA" w:rsidRPr="0034426D">
        <w:rPr>
          <w:rFonts w:cs="AdvTT5235d5a9"/>
          <w:sz w:val="24"/>
          <w:szCs w:val="24"/>
          <w:lang w:val="en-US"/>
        </w:rPr>
        <w:t xml:space="preserve">the </w:t>
      </w:r>
      <w:r w:rsidRPr="0034426D">
        <w:rPr>
          <w:rFonts w:cs="AdvTT5235d5a9"/>
          <w:sz w:val="24"/>
          <w:szCs w:val="24"/>
          <w:lang w:val="en-US"/>
        </w:rPr>
        <w:t xml:space="preserve">therapeutic action in circulation or </w:t>
      </w:r>
      <w:r w:rsidRPr="0034426D">
        <w:rPr>
          <w:sz w:val="24"/>
          <w:szCs w:val="24"/>
          <w:lang w:val="en-US"/>
        </w:rPr>
        <w:t>to lengthen the period of imaging analysis mediated by contrast agents [5].</w:t>
      </w:r>
    </w:p>
    <w:p w14:paraId="34D76BD8" w14:textId="77777777" w:rsidR="003B1021" w:rsidRDefault="00054C6C" w:rsidP="00054C6C">
      <w:pPr>
        <w:autoSpaceDE w:val="0"/>
        <w:autoSpaceDN w:val="0"/>
        <w:adjustRightInd w:val="0"/>
        <w:spacing w:after="0" w:line="360" w:lineRule="auto"/>
        <w:jc w:val="both"/>
        <w:rPr>
          <w:rFonts w:cs="Arial"/>
          <w:sz w:val="24"/>
          <w:szCs w:val="24"/>
          <w:shd w:val="clear" w:color="auto" w:fill="FFFFFF"/>
          <w:lang w:val="en-US"/>
        </w:rPr>
      </w:pPr>
      <w:r w:rsidRPr="0034426D">
        <w:rPr>
          <w:rFonts w:cs="AdvTT5235d5a9"/>
          <w:sz w:val="24"/>
          <w:szCs w:val="24"/>
          <w:lang w:val="en-US"/>
        </w:rPr>
        <w:t xml:space="preserve">On the contrary, by exploiting the natural fate of RBCs, it is possible to quicken the removal of drug-loaded RBCs from circulation with the aim </w:t>
      </w:r>
      <w:r w:rsidR="000F6CFA" w:rsidRPr="0034426D">
        <w:rPr>
          <w:rFonts w:cs="AdvTT5235d5a9"/>
          <w:sz w:val="24"/>
          <w:szCs w:val="24"/>
          <w:lang w:val="en-US"/>
        </w:rPr>
        <w:t xml:space="preserve">of rapidly and selectively </w:t>
      </w:r>
      <w:r w:rsidRPr="0034426D">
        <w:rPr>
          <w:rFonts w:cs="AdvTT5235d5a9"/>
          <w:sz w:val="24"/>
          <w:szCs w:val="24"/>
          <w:lang w:val="en-US"/>
        </w:rPr>
        <w:t>target</w:t>
      </w:r>
      <w:r w:rsidR="000F6CFA" w:rsidRPr="0034426D">
        <w:rPr>
          <w:rFonts w:cs="AdvTT5235d5a9"/>
          <w:sz w:val="24"/>
          <w:szCs w:val="24"/>
          <w:lang w:val="en-US"/>
        </w:rPr>
        <w:t>ing</w:t>
      </w:r>
      <w:r w:rsidRPr="0034426D">
        <w:rPr>
          <w:rFonts w:cs="AdvTT5235d5a9"/>
          <w:sz w:val="24"/>
          <w:szCs w:val="24"/>
          <w:lang w:val="en-US"/>
        </w:rPr>
        <w:t xml:space="preserve"> drugs to macrophages,</w:t>
      </w:r>
      <w:r w:rsidR="00C91F52">
        <w:rPr>
          <w:rFonts w:cs="AdvTT5235d5a9"/>
          <w:sz w:val="24"/>
          <w:szCs w:val="24"/>
          <w:lang w:val="en-US"/>
        </w:rPr>
        <w:t xml:space="preserve"> </w:t>
      </w:r>
      <w:r w:rsidRPr="0034426D">
        <w:rPr>
          <w:rFonts w:cs="AdvTT5235d5a9"/>
          <w:sz w:val="24"/>
          <w:szCs w:val="24"/>
          <w:lang w:val="en-US"/>
        </w:rPr>
        <w:t>leading to a change in the pharmacokinetic</w:t>
      </w:r>
      <w:r w:rsidR="000F6CFA" w:rsidRPr="0034426D">
        <w:rPr>
          <w:rFonts w:cs="AdvTT5235d5a9"/>
          <w:sz w:val="24"/>
          <w:szCs w:val="24"/>
          <w:lang w:val="en-US"/>
        </w:rPr>
        <w:t>s</w:t>
      </w:r>
      <w:r w:rsidRPr="0034426D">
        <w:rPr>
          <w:rFonts w:cs="AdvTT5235d5a9"/>
          <w:sz w:val="24"/>
          <w:szCs w:val="24"/>
          <w:lang w:val="en-US"/>
        </w:rPr>
        <w:t xml:space="preserve"> of the molecule of interest. The use of drug-loaded RBCs was first reported in 1973 for enzyme replacement therapy </w:t>
      </w:r>
      <w:r w:rsidR="000F6CFA" w:rsidRPr="0034426D">
        <w:rPr>
          <w:rFonts w:cs="AdvTT5235d5a9"/>
          <w:sz w:val="24"/>
          <w:szCs w:val="24"/>
          <w:lang w:val="en-US"/>
        </w:rPr>
        <w:t xml:space="preserve">of </w:t>
      </w:r>
      <w:r w:rsidRPr="0034426D">
        <w:rPr>
          <w:rFonts w:cs="AdvTT5235d5a9"/>
          <w:sz w:val="24"/>
          <w:szCs w:val="24"/>
          <w:lang w:val="en-US"/>
        </w:rPr>
        <w:t>inborn errors of metabolism [</w:t>
      </w:r>
      <w:r w:rsidR="007A20E2" w:rsidRPr="0034426D">
        <w:rPr>
          <w:rFonts w:cs="AdvTT5235d5a9"/>
          <w:sz w:val="24"/>
          <w:szCs w:val="24"/>
          <w:lang w:val="en-US"/>
        </w:rPr>
        <w:t>20</w:t>
      </w:r>
      <w:r w:rsidRPr="0034426D">
        <w:rPr>
          <w:rFonts w:cs="AdvTT5235d5a9"/>
          <w:sz w:val="24"/>
          <w:szCs w:val="24"/>
          <w:lang w:val="en-US"/>
        </w:rPr>
        <w:t xml:space="preserve">] and since then, significant progress has been made as shown by the abundant literature produced in </w:t>
      </w:r>
      <w:r w:rsidR="000F6CFA" w:rsidRPr="0034426D">
        <w:rPr>
          <w:rFonts w:cs="AdvTT5235d5a9"/>
          <w:sz w:val="24"/>
          <w:szCs w:val="24"/>
          <w:lang w:val="en-US"/>
        </w:rPr>
        <w:t xml:space="preserve">the </w:t>
      </w:r>
      <w:r w:rsidRPr="0034426D">
        <w:rPr>
          <w:rFonts w:cs="AdvTT5235d5a9"/>
          <w:sz w:val="24"/>
          <w:szCs w:val="24"/>
          <w:lang w:val="en-US"/>
        </w:rPr>
        <w:t xml:space="preserve">last decades </w:t>
      </w:r>
      <w:r w:rsidRPr="0034426D">
        <w:rPr>
          <w:rFonts w:cs="Arial"/>
          <w:sz w:val="24"/>
          <w:szCs w:val="24"/>
          <w:shd w:val="clear" w:color="auto" w:fill="FFFFFF"/>
          <w:lang w:val="en-US"/>
        </w:rPr>
        <w:t>on red blood cells as drug delivery system and the most important results have been collected in several and influential reviews [</w:t>
      </w:r>
      <w:r w:rsidR="007A20E2" w:rsidRPr="0034426D">
        <w:rPr>
          <w:rFonts w:cs="Arial"/>
          <w:sz w:val="24"/>
          <w:szCs w:val="24"/>
          <w:shd w:val="clear" w:color="auto" w:fill="FFFFFF"/>
          <w:lang w:val="en-US"/>
        </w:rPr>
        <w:t>21-25</w:t>
      </w:r>
      <w:r w:rsidRPr="0034426D">
        <w:rPr>
          <w:rFonts w:cs="Arial"/>
          <w:sz w:val="24"/>
          <w:szCs w:val="24"/>
          <w:shd w:val="clear" w:color="auto" w:fill="FFFFFF"/>
          <w:lang w:val="en-US"/>
        </w:rPr>
        <w:t xml:space="preserve">]. This strategy is based on the possibility to transiently open pores on the RBC membrane </w:t>
      </w:r>
      <w:r w:rsidR="00BF20B6" w:rsidRPr="0034426D">
        <w:rPr>
          <w:rFonts w:cs="Arial"/>
          <w:sz w:val="24"/>
          <w:szCs w:val="24"/>
          <w:shd w:val="clear" w:color="auto" w:fill="FFFFFF"/>
          <w:lang w:val="en-US"/>
        </w:rPr>
        <w:t>that</w:t>
      </w:r>
      <w:r w:rsidRPr="0034426D">
        <w:rPr>
          <w:rFonts w:cs="Arial"/>
          <w:sz w:val="24"/>
          <w:szCs w:val="24"/>
          <w:shd w:val="clear" w:color="auto" w:fill="FFFFFF"/>
          <w:lang w:val="en-US"/>
        </w:rPr>
        <w:t xml:space="preserve"> can be easily crossed by non-diffusible drugs that will remain confined within the RBCs once pores close. </w:t>
      </w:r>
    </w:p>
    <w:p w14:paraId="47510074" w14:textId="77777777" w:rsidR="003B1021" w:rsidRPr="003810E1" w:rsidRDefault="003B1021" w:rsidP="003810E1">
      <w:pPr>
        <w:spacing w:line="360" w:lineRule="auto"/>
        <w:contextualSpacing/>
        <w:jc w:val="both"/>
        <w:rPr>
          <w:sz w:val="24"/>
          <w:szCs w:val="24"/>
          <w:lang w:val="en-US"/>
        </w:rPr>
      </w:pPr>
      <w:r w:rsidRPr="003B1021">
        <w:rPr>
          <w:rFonts w:cs="Arial"/>
          <w:sz w:val="24"/>
          <w:szCs w:val="24"/>
          <w:shd w:val="clear" w:color="auto" w:fill="FFFFFF"/>
          <w:lang w:val="en-US"/>
        </w:rPr>
        <w:t>Among the available loading procedures, hypotonic dialysis allows a high percentage of cell recovery (</w:t>
      </w:r>
      <w:r w:rsidRPr="003810E1">
        <w:rPr>
          <w:color w:val="000000" w:themeColor="text1"/>
          <w:sz w:val="24"/>
          <w:szCs w:val="24"/>
          <w:lang w:val="en-US"/>
        </w:rPr>
        <w:t xml:space="preserve">range 50-80% according to experimental conditions, </w:t>
      </w:r>
      <w:r w:rsidR="00DA06A8">
        <w:rPr>
          <w:color w:val="000000" w:themeColor="text1"/>
          <w:sz w:val="24"/>
          <w:szCs w:val="24"/>
          <w:lang w:val="en-US"/>
        </w:rPr>
        <w:t>[26]</w:t>
      </w:r>
      <w:r w:rsidRPr="003810E1">
        <w:rPr>
          <w:color w:val="000000" w:themeColor="text1"/>
          <w:sz w:val="24"/>
          <w:szCs w:val="24"/>
          <w:lang w:val="en-US"/>
        </w:rPr>
        <w:t xml:space="preserve">) which, in addition, show a normal glycolytic activity, ATP and 2,3-BPG content </w:t>
      </w:r>
      <w:r w:rsidR="00DA06A8">
        <w:rPr>
          <w:color w:val="000000" w:themeColor="text1"/>
          <w:sz w:val="24"/>
          <w:szCs w:val="24"/>
          <w:lang w:val="en-US"/>
        </w:rPr>
        <w:t>[27]</w:t>
      </w:r>
      <w:r w:rsidRPr="003810E1">
        <w:rPr>
          <w:color w:val="000000" w:themeColor="text1"/>
          <w:sz w:val="24"/>
          <w:szCs w:val="24"/>
          <w:lang w:val="en-US"/>
        </w:rPr>
        <w:t xml:space="preserve">. Moreover, the recovered RBCs show morphological features quite similar to those observed in native cells with the presence of some microcytic and hypochromic </w:t>
      </w:r>
      <w:r w:rsidRPr="000B0A0A">
        <w:rPr>
          <w:color w:val="000000" w:themeColor="text1"/>
          <w:sz w:val="24"/>
          <w:szCs w:val="24"/>
          <w:lang w:val="en-US"/>
        </w:rPr>
        <w:t xml:space="preserve">cells </w:t>
      </w:r>
      <w:r w:rsidR="006B64EE">
        <w:rPr>
          <w:color w:val="000000" w:themeColor="text1"/>
          <w:sz w:val="24"/>
          <w:szCs w:val="24"/>
          <w:lang w:val="en-US"/>
        </w:rPr>
        <w:t>[28]</w:t>
      </w:r>
      <w:r>
        <w:rPr>
          <w:color w:val="000000" w:themeColor="text1"/>
          <w:sz w:val="24"/>
          <w:szCs w:val="24"/>
          <w:lang w:val="en-US"/>
        </w:rPr>
        <w:t>;</w:t>
      </w:r>
      <w:r w:rsidRPr="003810E1">
        <w:rPr>
          <w:color w:val="000000" w:themeColor="text1"/>
          <w:sz w:val="24"/>
          <w:szCs w:val="24"/>
          <w:lang w:val="en-US"/>
        </w:rPr>
        <w:t xml:space="preserve"> the observed decrease in MCH and MCHC values </w:t>
      </w:r>
      <w:r w:rsidR="006B64EE">
        <w:rPr>
          <w:color w:val="000000" w:themeColor="text1"/>
          <w:sz w:val="24"/>
          <w:szCs w:val="24"/>
          <w:lang w:val="en-US"/>
        </w:rPr>
        <w:t>[26]</w:t>
      </w:r>
      <w:r w:rsidRPr="003810E1">
        <w:rPr>
          <w:color w:val="000000" w:themeColor="text1"/>
          <w:sz w:val="24"/>
          <w:szCs w:val="24"/>
          <w:lang w:val="en-US"/>
        </w:rPr>
        <w:t xml:space="preserve"> might affect the total capability of these cells to transport oxygen that could be estimate</w:t>
      </w:r>
      <w:r w:rsidR="005E151F">
        <w:rPr>
          <w:color w:val="000000" w:themeColor="text1"/>
          <w:sz w:val="24"/>
          <w:szCs w:val="24"/>
          <w:lang w:val="en-US"/>
        </w:rPr>
        <w:t>d</w:t>
      </w:r>
      <w:r w:rsidRPr="003810E1">
        <w:rPr>
          <w:color w:val="000000" w:themeColor="text1"/>
          <w:sz w:val="24"/>
          <w:szCs w:val="24"/>
          <w:lang w:val="en-US"/>
        </w:rPr>
        <w:t xml:space="preserve"> to range from 7</w:t>
      </w:r>
      <w:r w:rsidR="005E151F">
        <w:rPr>
          <w:color w:val="000000" w:themeColor="text1"/>
          <w:sz w:val="24"/>
          <w:szCs w:val="24"/>
          <w:lang w:val="en-US"/>
        </w:rPr>
        <w:t>5</w:t>
      </w:r>
      <w:r w:rsidRPr="003810E1">
        <w:rPr>
          <w:color w:val="000000" w:themeColor="text1"/>
          <w:sz w:val="24"/>
          <w:szCs w:val="24"/>
          <w:lang w:val="en-US"/>
        </w:rPr>
        <w:t xml:space="preserve"> to 85% the original capacity</w:t>
      </w:r>
      <w:r>
        <w:rPr>
          <w:color w:val="000000" w:themeColor="text1"/>
          <w:sz w:val="24"/>
          <w:szCs w:val="24"/>
          <w:lang w:val="en-US"/>
        </w:rPr>
        <w:t>. H</w:t>
      </w:r>
      <w:r w:rsidRPr="003810E1">
        <w:rPr>
          <w:color w:val="000000" w:themeColor="text1"/>
          <w:sz w:val="24"/>
          <w:szCs w:val="24"/>
          <w:lang w:val="en-US"/>
        </w:rPr>
        <w:t xml:space="preserve">owever, this should not have an impact on blood functions since the amount of loaded cells usually re-infused in patients represents a very small fraction of the total RBCs in circulation and thus the </w:t>
      </w:r>
      <w:r w:rsidR="00F46887">
        <w:rPr>
          <w:color w:val="000000" w:themeColor="text1"/>
          <w:sz w:val="24"/>
          <w:szCs w:val="24"/>
          <w:lang w:val="en-US"/>
        </w:rPr>
        <w:t>reduction</w:t>
      </w:r>
      <w:r w:rsidR="00F46887" w:rsidRPr="003810E1">
        <w:rPr>
          <w:color w:val="000000" w:themeColor="text1"/>
          <w:sz w:val="24"/>
          <w:szCs w:val="24"/>
          <w:lang w:val="en-US"/>
        </w:rPr>
        <w:t xml:space="preserve"> </w:t>
      </w:r>
      <w:r w:rsidRPr="003810E1">
        <w:rPr>
          <w:color w:val="000000" w:themeColor="text1"/>
          <w:sz w:val="24"/>
          <w:szCs w:val="24"/>
          <w:lang w:val="en-US"/>
        </w:rPr>
        <w:t>of function would not be clinically relevant</w:t>
      </w:r>
      <w:r w:rsidRPr="003810E1">
        <w:rPr>
          <w:sz w:val="24"/>
          <w:szCs w:val="24"/>
          <w:lang w:val="en-US"/>
        </w:rPr>
        <w:t xml:space="preserve">. </w:t>
      </w:r>
      <w:r w:rsidR="00F043CF" w:rsidRPr="007A6FC4">
        <w:rPr>
          <w:sz w:val="24"/>
          <w:szCs w:val="24"/>
          <w:lang w:val="en-US"/>
        </w:rPr>
        <w:t xml:space="preserve">Moreover, regarding </w:t>
      </w:r>
      <w:r w:rsidR="007A6FC4" w:rsidRPr="003810E1">
        <w:rPr>
          <w:color w:val="000000" w:themeColor="text1"/>
          <w:sz w:val="24"/>
          <w:szCs w:val="24"/>
          <w:lang w:val="en-US"/>
        </w:rPr>
        <w:t xml:space="preserve">survival of the red blood </w:t>
      </w:r>
      <w:r w:rsidR="007A6FC4">
        <w:rPr>
          <w:color w:val="000000" w:themeColor="text1"/>
          <w:sz w:val="24"/>
          <w:szCs w:val="24"/>
          <w:lang w:val="en-US"/>
        </w:rPr>
        <w:t xml:space="preserve">cells </w:t>
      </w:r>
      <w:r w:rsidR="007A6FC4" w:rsidRPr="007A6FC4">
        <w:rPr>
          <w:color w:val="000000" w:themeColor="text1"/>
          <w:sz w:val="24"/>
          <w:szCs w:val="24"/>
          <w:lang w:val="en-US"/>
        </w:rPr>
        <w:t>processed by hypotonic dialysis</w:t>
      </w:r>
      <w:r w:rsidR="007A6FC4" w:rsidRPr="003810E1">
        <w:rPr>
          <w:color w:val="000000" w:themeColor="text1"/>
          <w:sz w:val="24"/>
          <w:szCs w:val="24"/>
          <w:lang w:val="en-US"/>
        </w:rPr>
        <w:t xml:space="preserve">, </w:t>
      </w:r>
      <w:r w:rsidR="007A6FC4">
        <w:rPr>
          <w:color w:val="000000" w:themeColor="text1"/>
          <w:sz w:val="24"/>
          <w:szCs w:val="24"/>
          <w:lang w:val="en-US"/>
        </w:rPr>
        <w:t xml:space="preserve">erythrocyte </w:t>
      </w:r>
      <w:r w:rsidR="007A6FC4" w:rsidRPr="003810E1">
        <w:rPr>
          <w:color w:val="000000" w:themeColor="text1"/>
          <w:sz w:val="24"/>
          <w:szCs w:val="24"/>
          <w:lang w:val="en-US"/>
        </w:rPr>
        <w:t xml:space="preserve">mean half-life has been reported to be 28 days, that is within the normal range of 19-29 days </w:t>
      </w:r>
      <w:r w:rsidR="006B64EE">
        <w:rPr>
          <w:color w:val="000000" w:themeColor="text1"/>
          <w:sz w:val="24"/>
          <w:szCs w:val="24"/>
          <w:lang w:val="en-US"/>
        </w:rPr>
        <w:t>[29,30]</w:t>
      </w:r>
      <w:r w:rsidR="007A6FC4" w:rsidRPr="003810E1">
        <w:rPr>
          <w:color w:val="000000" w:themeColor="text1"/>
          <w:sz w:val="24"/>
          <w:szCs w:val="24"/>
          <w:lang w:val="en-US"/>
        </w:rPr>
        <w:t>.</w:t>
      </w:r>
    </w:p>
    <w:p w14:paraId="098B4AD2" w14:textId="77777777" w:rsidR="00054C6C" w:rsidRPr="0034426D" w:rsidRDefault="00054C6C" w:rsidP="00054C6C">
      <w:pPr>
        <w:autoSpaceDE w:val="0"/>
        <w:autoSpaceDN w:val="0"/>
        <w:adjustRightInd w:val="0"/>
        <w:spacing w:after="0" w:line="360" w:lineRule="auto"/>
        <w:contextualSpacing/>
        <w:jc w:val="both"/>
        <w:rPr>
          <w:rFonts w:cs="AdvPA183"/>
          <w:sz w:val="24"/>
          <w:szCs w:val="24"/>
          <w:lang w:val="en-US"/>
        </w:rPr>
      </w:pPr>
      <w:r w:rsidRPr="0034426D">
        <w:rPr>
          <w:rFonts w:cs="AdvTT5235d5a9"/>
          <w:sz w:val="24"/>
          <w:szCs w:val="24"/>
          <w:lang w:val="en-US"/>
        </w:rPr>
        <w:t xml:space="preserve">Loading procedures have been used </w:t>
      </w:r>
      <w:r w:rsidRPr="0034426D">
        <w:rPr>
          <w:rFonts w:cs="AdvTT5235d5a9"/>
          <w:i/>
          <w:sz w:val="24"/>
          <w:szCs w:val="24"/>
          <w:lang w:val="en-US"/>
        </w:rPr>
        <w:t>in vitro</w:t>
      </w:r>
      <w:r w:rsidRPr="0034426D">
        <w:rPr>
          <w:rFonts w:cs="AdvTT5235d5a9"/>
          <w:sz w:val="24"/>
          <w:szCs w:val="24"/>
          <w:lang w:val="en-US"/>
        </w:rPr>
        <w:t xml:space="preserve"> and </w:t>
      </w:r>
      <w:r w:rsidRPr="0034426D">
        <w:rPr>
          <w:rFonts w:cs="AdvTT5235d5a9"/>
          <w:i/>
          <w:sz w:val="24"/>
          <w:szCs w:val="24"/>
          <w:lang w:val="en-US"/>
        </w:rPr>
        <w:t>in vivo</w:t>
      </w:r>
      <w:r w:rsidRPr="0034426D">
        <w:rPr>
          <w:rFonts w:cs="AdvTT5235d5a9"/>
          <w:sz w:val="24"/>
          <w:szCs w:val="24"/>
          <w:lang w:val="en-US"/>
        </w:rPr>
        <w:t xml:space="preserve"> for the encapsulation of many substances (e.g. anti-inflammatory, antimicrobial agents, enzymes, polypeptides, antibodies, therapeutic proteins, anti-tumor drugs, oligonucleotides, contrasting agents, etc.)</w:t>
      </w:r>
      <w:r w:rsidR="00E35491">
        <w:rPr>
          <w:rFonts w:cs="AdvTT5235d5a9"/>
          <w:sz w:val="24"/>
          <w:szCs w:val="24"/>
          <w:lang w:val="en-US"/>
        </w:rPr>
        <w:t xml:space="preserve"> </w:t>
      </w:r>
      <w:r w:rsidR="000F6CFA" w:rsidRPr="0034426D">
        <w:rPr>
          <w:rFonts w:cs="AdvTT5235d5a9"/>
          <w:sz w:val="24"/>
          <w:szCs w:val="24"/>
          <w:lang w:val="en-US"/>
        </w:rPr>
        <w:t>in order</w:t>
      </w:r>
      <w:r w:rsidRPr="0034426D">
        <w:rPr>
          <w:rFonts w:cs="AdvTT5235d5a9"/>
          <w:sz w:val="24"/>
          <w:szCs w:val="24"/>
          <w:lang w:val="en-US"/>
        </w:rPr>
        <w:t xml:space="preserve"> to modulate their pharmacokinetics. </w:t>
      </w:r>
      <w:r w:rsidRPr="0034426D">
        <w:rPr>
          <w:rFonts w:cs="AdvTT5235d5a9"/>
          <w:color w:val="000000"/>
          <w:sz w:val="24"/>
          <w:szCs w:val="24"/>
          <w:lang w:val="en-US"/>
        </w:rPr>
        <w:t xml:space="preserve">In </w:t>
      </w:r>
      <w:r w:rsidR="000F6CFA" w:rsidRPr="0034426D">
        <w:rPr>
          <w:rFonts w:cs="AdvTT5235d5a9"/>
          <w:color w:val="000000"/>
          <w:sz w:val="24"/>
          <w:szCs w:val="24"/>
          <w:lang w:val="en-US"/>
        </w:rPr>
        <w:t xml:space="preserve">this </w:t>
      </w:r>
      <w:r w:rsidRPr="0034426D">
        <w:rPr>
          <w:rFonts w:cs="AdvTT5235d5a9"/>
          <w:color w:val="000000"/>
          <w:sz w:val="24"/>
          <w:szCs w:val="24"/>
          <w:lang w:val="en-US"/>
        </w:rPr>
        <w:t>review</w:t>
      </w:r>
      <w:r w:rsidR="00AE5757" w:rsidRPr="0034426D">
        <w:rPr>
          <w:rFonts w:cs="AdvTT5235d5a9"/>
          <w:color w:val="000000"/>
          <w:sz w:val="24"/>
          <w:szCs w:val="24"/>
          <w:lang w:val="en-US"/>
        </w:rPr>
        <w:t>,</w:t>
      </w:r>
      <w:r w:rsidRPr="0034426D">
        <w:rPr>
          <w:rFonts w:cs="AdvTT5235d5a9"/>
          <w:color w:val="000000"/>
          <w:sz w:val="24"/>
          <w:szCs w:val="24"/>
          <w:lang w:val="en-US"/>
        </w:rPr>
        <w:t xml:space="preserve"> we focus </w:t>
      </w:r>
      <w:r w:rsidR="000F6CFA" w:rsidRPr="0034426D">
        <w:rPr>
          <w:rFonts w:cs="AdvTT5235d5a9"/>
          <w:color w:val="000000"/>
          <w:sz w:val="24"/>
          <w:szCs w:val="24"/>
          <w:lang w:val="en-US"/>
        </w:rPr>
        <w:t xml:space="preserve">our </w:t>
      </w:r>
      <w:r w:rsidRPr="0034426D">
        <w:rPr>
          <w:rFonts w:cs="AdvTT5235d5a9"/>
          <w:color w:val="000000"/>
          <w:sz w:val="24"/>
          <w:szCs w:val="24"/>
          <w:lang w:val="en-US"/>
        </w:rPr>
        <w:t xml:space="preserve">attention on a strategy to overcome the problems of actual therapeutics and diagnostics concerning </w:t>
      </w:r>
      <w:r w:rsidRPr="0034426D">
        <w:rPr>
          <w:rFonts w:cs="AdvTT5235d5a9"/>
          <w:i/>
          <w:color w:val="000000"/>
          <w:sz w:val="24"/>
          <w:szCs w:val="24"/>
          <w:lang w:val="en-US"/>
        </w:rPr>
        <w:t>in vivo</w:t>
      </w:r>
      <w:r w:rsidRPr="0034426D">
        <w:rPr>
          <w:rFonts w:cs="AdvTT5235d5a9"/>
          <w:color w:val="000000"/>
          <w:sz w:val="24"/>
          <w:szCs w:val="24"/>
          <w:lang w:val="en-US"/>
        </w:rPr>
        <w:t xml:space="preserve"> </w:t>
      </w:r>
      <w:r w:rsidRPr="0034426D">
        <w:rPr>
          <w:rFonts w:cs="AdvPA183"/>
          <w:sz w:val="24"/>
          <w:szCs w:val="24"/>
          <w:lang w:val="en-US"/>
        </w:rPr>
        <w:t xml:space="preserve">half-life extension, modulation of bioavailability and biodistribution profile in order to maximize </w:t>
      </w:r>
      <w:r w:rsidR="000F6CFA" w:rsidRPr="0034426D">
        <w:rPr>
          <w:rFonts w:cs="AdvPA183"/>
          <w:sz w:val="24"/>
          <w:szCs w:val="24"/>
          <w:lang w:val="en-US"/>
        </w:rPr>
        <w:t xml:space="preserve">the </w:t>
      </w:r>
      <w:r w:rsidRPr="0034426D">
        <w:rPr>
          <w:rFonts w:cs="AdvPA183"/>
          <w:sz w:val="24"/>
          <w:szCs w:val="24"/>
          <w:lang w:val="en-US"/>
        </w:rPr>
        <w:t xml:space="preserve">therapeutic efficacy and to </w:t>
      </w:r>
      <w:r w:rsidRPr="0034426D">
        <w:rPr>
          <w:rFonts w:cs="AdvPA183"/>
          <w:sz w:val="24"/>
          <w:szCs w:val="24"/>
          <w:lang w:val="en-US"/>
        </w:rPr>
        <w:lastRenderedPageBreak/>
        <w:t>minimize the amount of administered drug as well as the frequency and cost of therapeutic interventions. An additional review in this same issue of ADDS by Vladimir Muzykantov will describe additional strategies able to address the payload to selected sites within the vascular system [</w:t>
      </w:r>
      <w:r w:rsidR="006B64EE">
        <w:rPr>
          <w:rFonts w:cs="AdvPA183"/>
          <w:sz w:val="24"/>
          <w:szCs w:val="24"/>
          <w:lang w:val="en-US"/>
        </w:rPr>
        <w:t>31</w:t>
      </w:r>
      <w:r w:rsidRPr="0034426D">
        <w:rPr>
          <w:rFonts w:cs="AdvPA183"/>
          <w:sz w:val="24"/>
          <w:szCs w:val="24"/>
          <w:lang w:val="en-US"/>
        </w:rPr>
        <w:t>].</w:t>
      </w:r>
    </w:p>
    <w:p w14:paraId="3FC20440" w14:textId="77777777" w:rsidR="00047FDB" w:rsidRPr="0034426D" w:rsidRDefault="00047FDB" w:rsidP="00CA6EE7">
      <w:pPr>
        <w:pStyle w:val="Nessunaspaziatura"/>
        <w:spacing w:line="360" w:lineRule="auto"/>
        <w:jc w:val="both"/>
        <w:rPr>
          <w:sz w:val="24"/>
          <w:szCs w:val="24"/>
          <w:shd w:val="clear" w:color="auto" w:fill="FFFFFF"/>
          <w:lang w:val="en-US"/>
        </w:rPr>
      </w:pPr>
    </w:p>
    <w:p w14:paraId="1129DA4D" w14:textId="77777777" w:rsidR="00341D07" w:rsidRPr="0034426D" w:rsidRDefault="00275BC5" w:rsidP="00047FDB">
      <w:pPr>
        <w:autoSpaceDE w:val="0"/>
        <w:autoSpaceDN w:val="0"/>
        <w:adjustRightInd w:val="0"/>
        <w:spacing w:line="360" w:lineRule="auto"/>
        <w:jc w:val="both"/>
        <w:rPr>
          <w:rFonts w:cs="AdvTT5235d5a9"/>
          <w:b/>
          <w:color w:val="000000"/>
          <w:sz w:val="24"/>
          <w:szCs w:val="24"/>
          <w:lang w:val="en-US"/>
        </w:rPr>
      </w:pPr>
      <w:r w:rsidRPr="0034426D">
        <w:rPr>
          <w:rFonts w:cs="AdvTT5235d5a9"/>
          <w:b/>
          <w:color w:val="000000"/>
          <w:sz w:val="24"/>
          <w:szCs w:val="24"/>
          <w:lang w:val="en-US"/>
        </w:rPr>
        <w:t>2 Therapeutics: main limitations to their use and RBC-based strategy to overcome them</w:t>
      </w:r>
    </w:p>
    <w:p w14:paraId="0DA887A7" w14:textId="77777777" w:rsidR="00275BC5" w:rsidRPr="0034426D" w:rsidRDefault="00275BC5" w:rsidP="00341D07">
      <w:pPr>
        <w:autoSpaceDE w:val="0"/>
        <w:autoSpaceDN w:val="0"/>
        <w:adjustRightInd w:val="0"/>
        <w:spacing w:after="0" w:line="360" w:lineRule="auto"/>
        <w:jc w:val="both"/>
        <w:rPr>
          <w:rFonts w:cs="AdvTT5235d5a9"/>
          <w:b/>
          <w:color w:val="000000"/>
          <w:sz w:val="24"/>
          <w:szCs w:val="24"/>
          <w:lang w:val="en-US"/>
        </w:rPr>
      </w:pPr>
      <w:r w:rsidRPr="0034426D">
        <w:rPr>
          <w:rFonts w:cs="AdvTT5235d5a9"/>
          <w:b/>
          <w:color w:val="000000"/>
          <w:sz w:val="24"/>
          <w:szCs w:val="24"/>
          <w:lang w:val="en-US"/>
        </w:rPr>
        <w:t>2.1 Enzymes as therapeutic agents</w:t>
      </w:r>
    </w:p>
    <w:p w14:paraId="1568D6AE" w14:textId="77777777" w:rsidR="00275BC5" w:rsidRPr="0034426D" w:rsidRDefault="00BE3CF1" w:rsidP="00341D07">
      <w:pPr>
        <w:shd w:val="clear" w:color="auto" w:fill="FFFFFF"/>
        <w:spacing w:after="0" w:line="360" w:lineRule="auto"/>
        <w:jc w:val="both"/>
        <w:rPr>
          <w:rFonts w:eastAsia="Times New Roman" w:cs="Times New Roman"/>
          <w:sz w:val="24"/>
          <w:szCs w:val="24"/>
          <w:lang w:val="en-US"/>
        </w:rPr>
      </w:pPr>
      <w:r w:rsidRPr="0034426D">
        <w:rPr>
          <w:rFonts w:eastAsia="Times New Roman" w:cs="Arial"/>
          <w:sz w:val="24"/>
          <w:szCs w:val="24"/>
          <w:lang w:val="en-US"/>
        </w:rPr>
        <w:t>Recombinant p</w:t>
      </w:r>
      <w:r w:rsidR="00275BC5" w:rsidRPr="0034426D">
        <w:rPr>
          <w:rFonts w:eastAsia="Times New Roman" w:cs="Arial"/>
          <w:sz w:val="24"/>
          <w:szCs w:val="24"/>
          <w:lang w:val="en-US"/>
        </w:rPr>
        <w:t xml:space="preserve">roteins </w:t>
      </w:r>
      <w:r w:rsidR="00275BC5" w:rsidRPr="0034426D">
        <w:rPr>
          <w:rFonts w:cs="Arial"/>
          <w:color w:val="000000"/>
          <w:sz w:val="24"/>
          <w:szCs w:val="24"/>
          <w:shd w:val="clear" w:color="auto" w:fill="FFFFFF"/>
          <w:lang w:val="en-US"/>
        </w:rPr>
        <w:t xml:space="preserve">hold </w:t>
      </w:r>
      <w:r w:rsidRPr="0034426D">
        <w:rPr>
          <w:rFonts w:cs="Arial"/>
          <w:color w:val="000000"/>
          <w:sz w:val="24"/>
          <w:szCs w:val="24"/>
          <w:shd w:val="clear" w:color="auto" w:fill="FFFFFF"/>
          <w:lang w:val="en-US"/>
        </w:rPr>
        <w:t>increasing potential</w:t>
      </w:r>
      <w:r w:rsidR="00275BC5" w:rsidRPr="0034426D">
        <w:rPr>
          <w:rFonts w:cs="Arial"/>
          <w:color w:val="000000"/>
          <w:sz w:val="24"/>
          <w:szCs w:val="24"/>
          <w:shd w:val="clear" w:color="auto" w:fill="FFFFFF"/>
          <w:lang w:val="en-US"/>
        </w:rPr>
        <w:t xml:space="preserve"> as therapeutic agents and</w:t>
      </w:r>
      <w:r w:rsidR="00275BC5" w:rsidRPr="0034426D">
        <w:rPr>
          <w:rFonts w:eastAsia="Times New Roman" w:cs="Arial"/>
          <w:sz w:val="24"/>
          <w:szCs w:val="24"/>
          <w:lang w:val="en-US"/>
        </w:rPr>
        <w:t xml:space="preserve"> </w:t>
      </w:r>
      <w:r w:rsidRPr="0034426D">
        <w:rPr>
          <w:rFonts w:eastAsia="Times New Roman" w:cs="Arial"/>
          <w:sz w:val="24"/>
          <w:szCs w:val="24"/>
          <w:lang w:val="en-US"/>
        </w:rPr>
        <w:t xml:space="preserve">are already </w:t>
      </w:r>
      <w:r w:rsidR="00275BC5" w:rsidRPr="0034426D">
        <w:rPr>
          <w:rFonts w:eastAsia="Times New Roman" w:cs="Arial"/>
          <w:sz w:val="24"/>
          <w:szCs w:val="24"/>
          <w:lang w:val="en-US"/>
        </w:rPr>
        <w:t xml:space="preserve">successfully used as very efficient drugs in </w:t>
      </w:r>
      <w:r w:rsidRPr="0034426D">
        <w:rPr>
          <w:rFonts w:eastAsia="Times New Roman" w:cs="Arial"/>
          <w:sz w:val="24"/>
          <w:szCs w:val="24"/>
          <w:lang w:val="en-US"/>
        </w:rPr>
        <w:t xml:space="preserve">the </w:t>
      </w:r>
      <w:r w:rsidR="00275BC5" w:rsidRPr="0034426D">
        <w:rPr>
          <w:rFonts w:eastAsia="Times New Roman" w:cs="Arial"/>
          <w:sz w:val="24"/>
          <w:szCs w:val="24"/>
          <w:lang w:val="en-US"/>
        </w:rPr>
        <w:t>t</w:t>
      </w:r>
      <w:r w:rsidRPr="0034426D">
        <w:rPr>
          <w:rFonts w:eastAsia="Times New Roman" w:cs="Arial"/>
          <w:sz w:val="24"/>
          <w:szCs w:val="24"/>
          <w:lang w:val="en-US"/>
        </w:rPr>
        <w:t>reatment</w:t>
      </w:r>
      <w:r w:rsidR="00275BC5" w:rsidRPr="0034426D">
        <w:rPr>
          <w:rFonts w:eastAsia="Times New Roman" w:cs="Arial"/>
          <w:sz w:val="24"/>
          <w:szCs w:val="24"/>
          <w:lang w:val="en-US"/>
        </w:rPr>
        <w:t xml:space="preserve"> of many pathophysiological </w:t>
      </w:r>
      <w:r w:rsidRPr="0034426D">
        <w:rPr>
          <w:rFonts w:eastAsia="Times New Roman" w:cs="Arial"/>
          <w:sz w:val="24"/>
          <w:szCs w:val="24"/>
          <w:lang w:val="en-US"/>
        </w:rPr>
        <w:t>conditions. Namely</w:t>
      </w:r>
      <w:r w:rsidR="000F6CFA" w:rsidRPr="0034426D">
        <w:rPr>
          <w:rFonts w:eastAsia="Times New Roman" w:cs="Arial"/>
          <w:sz w:val="24"/>
          <w:szCs w:val="24"/>
          <w:lang w:val="en-US"/>
        </w:rPr>
        <w:t>,</w:t>
      </w:r>
      <w:r w:rsidRPr="0034426D">
        <w:rPr>
          <w:rFonts w:eastAsia="Times New Roman" w:cs="Arial"/>
          <w:sz w:val="24"/>
          <w:szCs w:val="24"/>
          <w:lang w:val="en-US"/>
        </w:rPr>
        <w:t xml:space="preserve"> recombinant proteins are used</w:t>
      </w:r>
      <w:r w:rsidR="00275BC5" w:rsidRPr="0034426D">
        <w:rPr>
          <w:rFonts w:eastAsia="Times New Roman" w:cs="Arial"/>
          <w:sz w:val="24"/>
          <w:szCs w:val="24"/>
          <w:lang w:val="en-US"/>
        </w:rPr>
        <w:t xml:space="preserve"> </w:t>
      </w:r>
      <w:r w:rsidR="00275BC5" w:rsidRPr="0034426D">
        <w:rPr>
          <w:rFonts w:cs="TimesNewRoman"/>
          <w:sz w:val="24"/>
          <w:szCs w:val="24"/>
          <w:lang w:val="en-US"/>
        </w:rPr>
        <w:t xml:space="preserve">to treat endocrine disorders, to combat various cancers, to alleviate autoimmune diseases, </w:t>
      </w:r>
      <w:r w:rsidRPr="0034426D">
        <w:rPr>
          <w:rFonts w:cs="TimesNewRoman"/>
          <w:sz w:val="24"/>
          <w:szCs w:val="24"/>
          <w:lang w:val="en-US"/>
        </w:rPr>
        <w:t>as</w:t>
      </w:r>
      <w:r w:rsidR="00275BC5" w:rsidRPr="0034426D">
        <w:rPr>
          <w:rFonts w:cs="TimesNewRoman"/>
          <w:sz w:val="24"/>
          <w:szCs w:val="24"/>
          <w:lang w:val="en-US"/>
        </w:rPr>
        <w:t xml:space="preserve"> active </w:t>
      </w:r>
      <w:r w:rsidRPr="0034426D">
        <w:rPr>
          <w:rFonts w:cs="TimesNewRoman"/>
          <w:sz w:val="24"/>
          <w:szCs w:val="24"/>
          <w:lang w:val="en-US"/>
        </w:rPr>
        <w:t>pharmaceutical ingredients</w:t>
      </w:r>
      <w:r w:rsidR="00275BC5" w:rsidRPr="0034426D">
        <w:rPr>
          <w:rFonts w:cs="TimesNewRoman"/>
          <w:sz w:val="24"/>
          <w:szCs w:val="24"/>
          <w:lang w:val="en-US"/>
        </w:rPr>
        <w:t xml:space="preserve"> in many vaccines </w:t>
      </w:r>
      <w:r w:rsidR="00CA6EE7" w:rsidRPr="0034426D">
        <w:rPr>
          <w:rFonts w:cs="TimesNewRoman"/>
          <w:sz w:val="24"/>
          <w:szCs w:val="24"/>
          <w:lang w:val="en-US"/>
        </w:rPr>
        <w:t>[</w:t>
      </w:r>
      <w:r w:rsidR="006B64EE">
        <w:rPr>
          <w:rFonts w:cs="TimesNewRoman"/>
          <w:sz w:val="24"/>
          <w:szCs w:val="24"/>
          <w:lang w:val="en-US"/>
        </w:rPr>
        <w:t>32</w:t>
      </w:r>
      <w:r w:rsidR="00CA6EE7" w:rsidRPr="0034426D">
        <w:rPr>
          <w:rFonts w:cs="TimesNewRoman"/>
          <w:sz w:val="24"/>
          <w:szCs w:val="24"/>
          <w:lang w:val="en-US"/>
        </w:rPr>
        <w:t xml:space="preserve">] </w:t>
      </w:r>
      <w:r w:rsidR="00275BC5" w:rsidRPr="0034426D">
        <w:rPr>
          <w:sz w:val="24"/>
          <w:szCs w:val="24"/>
          <w:lang w:val="en-US"/>
        </w:rPr>
        <w:t xml:space="preserve">and as replacement therapy for the treatment of enzyme deficiency diseases or as a degradation system of toxic </w:t>
      </w:r>
      <w:r w:rsidRPr="0034426D">
        <w:rPr>
          <w:sz w:val="24"/>
          <w:szCs w:val="24"/>
          <w:lang w:val="en-US"/>
        </w:rPr>
        <w:t xml:space="preserve">metabolites or </w:t>
      </w:r>
      <w:r w:rsidR="00275BC5" w:rsidRPr="0034426D">
        <w:rPr>
          <w:sz w:val="24"/>
          <w:szCs w:val="24"/>
          <w:lang w:val="en-US"/>
        </w:rPr>
        <w:t>compounds secondary to some kind of poisoning</w:t>
      </w:r>
      <w:r w:rsidR="00275BC5" w:rsidRPr="0034426D">
        <w:rPr>
          <w:rFonts w:eastAsia="Times New Roman" w:cs="Arial"/>
          <w:sz w:val="24"/>
          <w:szCs w:val="24"/>
          <w:lang w:val="en-US"/>
        </w:rPr>
        <w:t xml:space="preserve">. The main drawbacks of biopharmaceutical proteins are their suboptimal physicochemical and pharmacokinetic (PK) properties. Main limitations for their systemic use by intravenous </w:t>
      </w:r>
      <w:r w:rsidRPr="0034426D">
        <w:rPr>
          <w:rFonts w:eastAsia="Times New Roman" w:cs="Arial"/>
          <w:sz w:val="24"/>
          <w:szCs w:val="24"/>
          <w:lang w:val="en-US"/>
        </w:rPr>
        <w:t>administration</w:t>
      </w:r>
      <w:r w:rsidR="00275BC5" w:rsidRPr="0034426D">
        <w:rPr>
          <w:rFonts w:eastAsia="Times New Roman" w:cs="Arial"/>
          <w:sz w:val="24"/>
          <w:szCs w:val="24"/>
          <w:lang w:val="en-US"/>
        </w:rPr>
        <w:t xml:space="preserve"> are physicochemical instability, limited solubility, proteolytic inactivation</w:t>
      </w:r>
      <w:r w:rsidR="00275BC5" w:rsidRPr="0034426D">
        <w:rPr>
          <w:rFonts w:cs="Arial"/>
          <w:color w:val="000000"/>
          <w:sz w:val="24"/>
          <w:szCs w:val="24"/>
          <w:shd w:val="clear" w:color="auto" w:fill="FFFFFF"/>
          <w:lang w:val="en-US"/>
        </w:rPr>
        <w:t xml:space="preserve"> by serum enzymes</w:t>
      </w:r>
      <w:r w:rsidR="00275BC5" w:rsidRPr="0034426D">
        <w:rPr>
          <w:rFonts w:eastAsia="Times New Roman" w:cs="Arial"/>
          <w:sz w:val="24"/>
          <w:szCs w:val="24"/>
          <w:lang w:val="en-US"/>
        </w:rPr>
        <w:t xml:space="preserve">, relatively short elimination </w:t>
      </w:r>
      <w:r w:rsidR="00275BC5" w:rsidRPr="0034426D">
        <w:rPr>
          <w:rFonts w:cs="Arial"/>
          <w:color w:val="000000"/>
          <w:sz w:val="24"/>
          <w:szCs w:val="24"/>
          <w:shd w:val="clear" w:color="auto" w:fill="FFFFFF"/>
          <w:lang w:val="en-US"/>
        </w:rPr>
        <w:t xml:space="preserve">by glomerular filtration (molecules with a molecular mass below 5kDa and unbound to plasma proteins can pass the filter </w:t>
      </w:r>
      <w:r w:rsidR="00275BC5" w:rsidRPr="0034426D">
        <w:rPr>
          <w:rFonts w:cs="Arial"/>
          <w:sz w:val="24"/>
          <w:szCs w:val="24"/>
          <w:shd w:val="clear" w:color="auto" w:fill="FFFFFF"/>
          <w:lang w:val="en-US"/>
        </w:rPr>
        <w:t xml:space="preserve">completely, </w:t>
      </w:r>
      <w:r w:rsidR="00CA6EE7" w:rsidRPr="0034426D">
        <w:rPr>
          <w:rFonts w:cs="Arial"/>
          <w:sz w:val="24"/>
          <w:szCs w:val="24"/>
          <w:shd w:val="clear" w:color="auto" w:fill="FFFFFF"/>
          <w:lang w:val="en-US"/>
        </w:rPr>
        <w:t>[</w:t>
      </w:r>
      <w:r w:rsidR="006B64EE">
        <w:rPr>
          <w:rFonts w:cs="Arial"/>
          <w:sz w:val="24"/>
          <w:szCs w:val="24"/>
          <w:shd w:val="clear" w:color="auto" w:fill="FFFFFF"/>
          <w:lang w:val="en-US"/>
        </w:rPr>
        <w:t>33</w:t>
      </w:r>
      <w:r w:rsidR="00CA6EE7" w:rsidRPr="0034426D">
        <w:rPr>
          <w:rFonts w:cs="Arial"/>
          <w:sz w:val="24"/>
          <w:szCs w:val="24"/>
          <w:shd w:val="clear" w:color="auto" w:fill="FFFFFF"/>
          <w:lang w:val="en-US"/>
        </w:rPr>
        <w:t>]</w:t>
      </w:r>
      <w:r w:rsidR="00275BC5" w:rsidRPr="0034426D">
        <w:rPr>
          <w:rFonts w:cs="Arial"/>
          <w:color w:val="000000"/>
          <w:sz w:val="24"/>
          <w:szCs w:val="24"/>
          <w:shd w:val="clear" w:color="auto" w:fill="FFFFFF"/>
          <w:lang w:val="en-US"/>
        </w:rPr>
        <w:t>)</w:t>
      </w:r>
      <w:r w:rsidR="00275BC5" w:rsidRPr="0034426D">
        <w:rPr>
          <w:rFonts w:eastAsia="Times New Roman" w:cs="Arial"/>
          <w:sz w:val="24"/>
          <w:szCs w:val="24"/>
          <w:lang w:val="en-US"/>
        </w:rPr>
        <w:t xml:space="preserve">, iper-sensitivity reactions and tissue toxicity. </w:t>
      </w:r>
      <w:r w:rsidR="00275BC5" w:rsidRPr="0034426D">
        <w:rPr>
          <w:rFonts w:cs="Arial"/>
          <w:sz w:val="24"/>
          <w:szCs w:val="24"/>
          <w:shd w:val="clear" w:color="auto" w:fill="FFFFFF"/>
          <w:lang w:val="en-US"/>
        </w:rPr>
        <w:t>Additionally</w:t>
      </w:r>
      <w:r w:rsidRPr="0034426D">
        <w:rPr>
          <w:rFonts w:cs="Arial"/>
          <w:sz w:val="24"/>
          <w:szCs w:val="24"/>
          <w:shd w:val="clear" w:color="auto" w:fill="FFFFFF"/>
          <w:lang w:val="en-US"/>
        </w:rPr>
        <w:t>,</w:t>
      </w:r>
      <w:r w:rsidR="00275BC5" w:rsidRPr="0034426D">
        <w:rPr>
          <w:rFonts w:cs="Arial"/>
          <w:sz w:val="24"/>
          <w:szCs w:val="24"/>
          <w:shd w:val="clear" w:color="auto" w:fill="FFFFFF"/>
          <w:lang w:val="en-US"/>
        </w:rPr>
        <w:t xml:space="preserve"> they are prone to be recognized by the immune system, resulting in the generation of neutralizing antibodies,</w:t>
      </w:r>
      <w:r w:rsidR="00275BC5" w:rsidRPr="0034426D">
        <w:rPr>
          <w:rFonts w:cs="AdvTT5235d5a9"/>
          <w:sz w:val="24"/>
          <w:szCs w:val="24"/>
          <w:lang w:val="en-US"/>
        </w:rPr>
        <w:t xml:space="preserve"> </w:t>
      </w:r>
      <w:r w:rsidR="00275BC5" w:rsidRPr="0034426D">
        <w:rPr>
          <w:sz w:val="24"/>
          <w:szCs w:val="24"/>
          <w:lang w:val="en-US"/>
        </w:rPr>
        <w:t>following their</w:t>
      </w:r>
      <w:r w:rsidR="00275BC5" w:rsidRPr="0034426D">
        <w:rPr>
          <w:rFonts w:eastAsia="Times New Roman" w:cs="Arial"/>
          <w:sz w:val="24"/>
          <w:szCs w:val="24"/>
          <w:lang w:val="en-US"/>
        </w:rPr>
        <w:t xml:space="preserve"> introduction in the body</w:t>
      </w:r>
      <w:r w:rsidRPr="0034426D">
        <w:rPr>
          <w:rFonts w:eastAsia="Times New Roman" w:cs="Arial"/>
          <w:sz w:val="24"/>
          <w:szCs w:val="24"/>
          <w:lang w:val="en-US"/>
        </w:rPr>
        <w:t xml:space="preserve"> when not autologous</w:t>
      </w:r>
      <w:r w:rsidR="00275BC5" w:rsidRPr="0034426D">
        <w:rPr>
          <w:rFonts w:eastAsia="Times New Roman" w:cs="Arial"/>
          <w:sz w:val="24"/>
          <w:szCs w:val="24"/>
          <w:lang w:val="en-US"/>
        </w:rPr>
        <w:t>.</w:t>
      </w:r>
      <w:r w:rsidR="00275BC5" w:rsidRPr="0034426D">
        <w:rPr>
          <w:i/>
          <w:sz w:val="24"/>
          <w:szCs w:val="24"/>
          <w:lang w:val="en-US"/>
        </w:rPr>
        <w:t xml:space="preserve"> </w:t>
      </w:r>
      <w:r w:rsidR="00275BC5" w:rsidRPr="0034426D">
        <w:rPr>
          <w:rFonts w:eastAsia="Times New Roman" w:cs="Arial"/>
          <w:sz w:val="24"/>
          <w:szCs w:val="24"/>
          <w:lang w:val="en-US"/>
        </w:rPr>
        <w:t xml:space="preserve">These </w:t>
      </w:r>
      <w:r w:rsidR="00275BC5" w:rsidRPr="0034426D">
        <w:rPr>
          <w:rFonts w:cs="Arial"/>
          <w:sz w:val="24"/>
          <w:szCs w:val="24"/>
          <w:shd w:val="clear" w:color="auto" w:fill="FFFFFF"/>
          <w:lang w:val="en-US"/>
        </w:rPr>
        <w:t>shortcomings</w:t>
      </w:r>
      <w:r w:rsidR="00275BC5" w:rsidRPr="0034426D">
        <w:rPr>
          <w:rFonts w:eastAsia="Times New Roman" w:cs="Arial"/>
          <w:sz w:val="24"/>
          <w:szCs w:val="24"/>
          <w:lang w:val="en-US"/>
        </w:rPr>
        <w:t xml:space="preserve"> </w:t>
      </w:r>
      <w:r w:rsidR="00275BC5" w:rsidRPr="0034426D">
        <w:rPr>
          <w:rFonts w:cs="Arial"/>
          <w:sz w:val="24"/>
          <w:szCs w:val="24"/>
          <w:shd w:val="clear" w:color="auto" w:fill="FFFFFF"/>
          <w:lang w:val="en-US"/>
        </w:rPr>
        <w:t xml:space="preserve">result </w:t>
      </w:r>
      <w:r w:rsidRPr="0034426D">
        <w:rPr>
          <w:rFonts w:cs="Arial"/>
          <w:sz w:val="24"/>
          <w:szCs w:val="24"/>
          <w:shd w:val="clear" w:color="auto" w:fill="FFFFFF"/>
          <w:lang w:val="en-US"/>
        </w:rPr>
        <w:t xml:space="preserve">at best </w:t>
      </w:r>
      <w:r w:rsidR="00275BC5" w:rsidRPr="0034426D">
        <w:rPr>
          <w:rFonts w:cs="Arial"/>
          <w:sz w:val="24"/>
          <w:szCs w:val="24"/>
          <w:shd w:val="clear" w:color="auto" w:fill="FFFFFF"/>
          <w:lang w:val="en-US"/>
        </w:rPr>
        <w:t>in a too short circulating</w:t>
      </w:r>
      <w:r w:rsidR="00275BC5" w:rsidRPr="0034426D">
        <w:rPr>
          <w:rStyle w:val="apple-converted-space"/>
          <w:rFonts w:cs="Arial"/>
          <w:sz w:val="24"/>
          <w:szCs w:val="24"/>
          <w:shd w:val="clear" w:color="auto" w:fill="FFFFFF"/>
          <w:lang w:val="en-US"/>
        </w:rPr>
        <w:t xml:space="preserve"> </w:t>
      </w:r>
      <w:r w:rsidR="00275BC5" w:rsidRPr="0034426D">
        <w:rPr>
          <w:rStyle w:val="highlight"/>
          <w:rFonts w:cs="Arial"/>
          <w:sz w:val="24"/>
          <w:szCs w:val="24"/>
          <w:shd w:val="clear" w:color="auto" w:fill="FFFFFF"/>
          <w:lang w:val="en-US"/>
        </w:rPr>
        <w:t>half-life.</w:t>
      </w:r>
      <w:r w:rsidR="00275BC5" w:rsidRPr="0034426D">
        <w:rPr>
          <w:rStyle w:val="highlight"/>
          <w:rFonts w:cs="Arial"/>
          <w:i/>
          <w:sz w:val="24"/>
          <w:szCs w:val="24"/>
          <w:shd w:val="clear" w:color="auto" w:fill="FFFFFF"/>
          <w:lang w:val="en-US"/>
        </w:rPr>
        <w:t xml:space="preserve"> </w:t>
      </w:r>
      <w:r w:rsidR="00275BC5" w:rsidRPr="0034426D">
        <w:rPr>
          <w:rFonts w:eastAsia="Times New Roman" w:cs="Arial"/>
          <w:sz w:val="24"/>
          <w:szCs w:val="24"/>
          <w:lang w:val="en-US"/>
        </w:rPr>
        <w:t>Due to the obvious advantages of long-acting protein drugs, strategies to prolong their plasma half-life are highly on demand. Many technologies have been developed during the last decade focusing on improvement of characteristics of the protein drugs to gain the desired PK properties. They include amino</w:t>
      </w:r>
      <w:r w:rsidR="00C91F52">
        <w:rPr>
          <w:rFonts w:eastAsia="Times New Roman" w:cs="Arial"/>
          <w:sz w:val="24"/>
          <w:szCs w:val="24"/>
          <w:lang w:val="en-US"/>
        </w:rPr>
        <w:t xml:space="preserve"> </w:t>
      </w:r>
      <w:r w:rsidR="00275BC5" w:rsidRPr="0034426D">
        <w:rPr>
          <w:rFonts w:eastAsia="Times New Roman" w:cs="Arial"/>
          <w:sz w:val="24"/>
          <w:szCs w:val="24"/>
          <w:lang w:val="en-US"/>
        </w:rPr>
        <w:t xml:space="preserve">acid manipulation, fusion to FC region of immunoglobulin domains, conjugation with serum proteins (albumin) or coupling with synthetic polymers (PEGylation) </w:t>
      </w:r>
      <w:r w:rsidR="00CA6EE7" w:rsidRPr="0034426D">
        <w:rPr>
          <w:rFonts w:eastAsia="Times New Roman" w:cs="Arial"/>
          <w:sz w:val="24"/>
          <w:szCs w:val="24"/>
          <w:lang w:val="en-US"/>
        </w:rPr>
        <w:t>[</w:t>
      </w:r>
      <w:r w:rsidR="006B64EE">
        <w:rPr>
          <w:rFonts w:eastAsia="Times New Roman" w:cs="Arial"/>
          <w:sz w:val="24"/>
          <w:szCs w:val="24"/>
          <w:lang w:val="en-US"/>
        </w:rPr>
        <w:t>34</w:t>
      </w:r>
      <w:r w:rsidR="00CA6EE7" w:rsidRPr="0034426D">
        <w:rPr>
          <w:rFonts w:eastAsia="Times New Roman" w:cs="Arial"/>
          <w:sz w:val="24"/>
          <w:szCs w:val="24"/>
          <w:lang w:val="en-US"/>
        </w:rPr>
        <w:t>]</w:t>
      </w:r>
      <w:r w:rsidR="00275BC5" w:rsidRPr="0034426D">
        <w:rPr>
          <w:rFonts w:eastAsia="Times New Roman" w:cs="Arial"/>
          <w:sz w:val="24"/>
          <w:szCs w:val="24"/>
          <w:lang w:val="en-US"/>
        </w:rPr>
        <w:t>, which are able to reduce immunogenicity and proteolytic instability</w:t>
      </w:r>
      <w:r w:rsidR="000F6CFA" w:rsidRPr="0034426D">
        <w:rPr>
          <w:rFonts w:eastAsia="Times New Roman" w:cs="Arial"/>
          <w:sz w:val="24"/>
          <w:szCs w:val="24"/>
          <w:lang w:val="en-US"/>
        </w:rPr>
        <w:t>, thus</w:t>
      </w:r>
      <w:r w:rsidR="00275BC5" w:rsidRPr="0034426D">
        <w:rPr>
          <w:rFonts w:eastAsia="Times New Roman" w:cs="Arial"/>
          <w:sz w:val="24"/>
          <w:szCs w:val="24"/>
          <w:lang w:val="en-US"/>
        </w:rPr>
        <w:t xml:space="preserve"> extending half-life of therapeutic proteins to varying degrees.</w:t>
      </w:r>
      <w:r w:rsidR="00275BC5" w:rsidRPr="0034426D">
        <w:rPr>
          <w:rFonts w:cs="AdvTT5235d5a9"/>
          <w:sz w:val="24"/>
          <w:szCs w:val="24"/>
          <w:lang w:val="en-US"/>
        </w:rPr>
        <w:t xml:space="preserve"> A number of studies have demonstrated that PEGylation of enzymes</w:t>
      </w:r>
      <w:r w:rsidR="00275BC5" w:rsidRPr="0034426D">
        <w:rPr>
          <w:rFonts w:cs="Arial"/>
          <w:color w:val="000000"/>
          <w:sz w:val="24"/>
          <w:szCs w:val="24"/>
          <w:shd w:val="clear" w:color="auto" w:fill="FFFFFF"/>
          <w:lang w:val="en-US"/>
        </w:rPr>
        <w:t xml:space="preserve"> (a process by which polyethylene glycol chains are attached to protein drug</w:t>
      </w:r>
      <w:r w:rsidR="000F6CFA" w:rsidRPr="0034426D">
        <w:rPr>
          <w:rFonts w:cs="Arial"/>
          <w:color w:val="000000"/>
          <w:sz w:val="24"/>
          <w:szCs w:val="24"/>
          <w:shd w:val="clear" w:color="auto" w:fill="FFFFFF"/>
          <w:lang w:val="en-US"/>
        </w:rPr>
        <w:t>s</w:t>
      </w:r>
      <w:r w:rsidR="00275BC5" w:rsidRPr="0034426D">
        <w:rPr>
          <w:rFonts w:cs="Arial"/>
          <w:color w:val="000000"/>
          <w:sz w:val="24"/>
          <w:szCs w:val="24"/>
          <w:shd w:val="clear" w:color="auto" w:fill="FFFFFF"/>
          <w:lang w:val="en-US"/>
        </w:rPr>
        <w:t>)</w:t>
      </w:r>
      <w:r w:rsidR="00275BC5" w:rsidRPr="0034426D">
        <w:rPr>
          <w:rFonts w:cs="AdvTT5235d5a9"/>
          <w:sz w:val="24"/>
          <w:szCs w:val="24"/>
          <w:lang w:val="en-US"/>
        </w:rPr>
        <w:t xml:space="preserve"> results in reduced </w:t>
      </w:r>
      <w:r w:rsidR="00A461B8" w:rsidRPr="0034426D">
        <w:rPr>
          <w:rFonts w:cs="AdvTT5235d5a9"/>
          <w:sz w:val="24"/>
          <w:szCs w:val="24"/>
          <w:lang w:val="en-US"/>
        </w:rPr>
        <w:t>RES</w:t>
      </w:r>
      <w:r w:rsidR="00275BC5" w:rsidRPr="0034426D">
        <w:rPr>
          <w:rFonts w:cs="AdvTT5235d5a9"/>
          <w:sz w:val="24"/>
          <w:szCs w:val="24"/>
          <w:lang w:val="en-US"/>
        </w:rPr>
        <w:t xml:space="preserve"> uptake and prolonged circulation half-life, improving enzymatic stability by a steric hindrance of proteolytic enzymes and decreasing renal excretion b</w:t>
      </w:r>
      <w:r w:rsidR="00275BC5" w:rsidRPr="0034426D">
        <w:rPr>
          <w:rFonts w:cs="Arial"/>
          <w:color w:val="000000"/>
          <w:sz w:val="24"/>
          <w:szCs w:val="24"/>
          <w:shd w:val="clear" w:color="auto" w:fill="FFFFFF"/>
          <w:lang w:val="en-US"/>
        </w:rPr>
        <w:t>y increas</w:t>
      </w:r>
      <w:r w:rsidR="000F6CFA" w:rsidRPr="0034426D">
        <w:rPr>
          <w:rFonts w:cs="Arial"/>
          <w:color w:val="000000"/>
          <w:sz w:val="24"/>
          <w:szCs w:val="24"/>
          <w:shd w:val="clear" w:color="auto" w:fill="FFFFFF"/>
          <w:lang w:val="en-US"/>
        </w:rPr>
        <w:t>ing</w:t>
      </w:r>
      <w:r w:rsidR="00C91F52">
        <w:rPr>
          <w:rFonts w:cs="Arial"/>
          <w:color w:val="000000"/>
          <w:sz w:val="24"/>
          <w:szCs w:val="24"/>
          <w:shd w:val="clear" w:color="auto" w:fill="FFFFFF"/>
          <w:lang w:val="en-US"/>
        </w:rPr>
        <w:t xml:space="preserve"> </w:t>
      </w:r>
      <w:r w:rsidR="00275BC5" w:rsidRPr="0034426D">
        <w:rPr>
          <w:rFonts w:cs="Arial"/>
          <w:color w:val="000000"/>
          <w:sz w:val="24"/>
          <w:szCs w:val="24"/>
          <w:shd w:val="clear" w:color="auto" w:fill="FFFFFF"/>
          <w:lang w:val="en-US"/>
        </w:rPr>
        <w:t xml:space="preserve">molecular mass of proteins </w:t>
      </w:r>
      <w:r w:rsidR="00CA6EE7" w:rsidRPr="0034426D">
        <w:rPr>
          <w:rFonts w:cs="Arial"/>
          <w:color w:val="000000"/>
          <w:sz w:val="24"/>
          <w:szCs w:val="24"/>
          <w:shd w:val="clear" w:color="auto" w:fill="FFFFFF"/>
          <w:lang w:val="en-US"/>
        </w:rPr>
        <w:t>[3</w:t>
      </w:r>
      <w:r w:rsidR="006B64EE">
        <w:rPr>
          <w:rFonts w:cs="Arial"/>
          <w:color w:val="000000"/>
          <w:sz w:val="24"/>
          <w:szCs w:val="24"/>
          <w:shd w:val="clear" w:color="auto" w:fill="FFFFFF"/>
          <w:lang w:val="en-US"/>
        </w:rPr>
        <w:t>5</w:t>
      </w:r>
      <w:r w:rsidR="00CA6EE7" w:rsidRPr="0034426D">
        <w:rPr>
          <w:rFonts w:cs="Arial"/>
          <w:color w:val="000000"/>
          <w:sz w:val="24"/>
          <w:szCs w:val="24"/>
          <w:shd w:val="clear" w:color="auto" w:fill="FFFFFF"/>
          <w:lang w:val="en-US"/>
        </w:rPr>
        <w:t>]</w:t>
      </w:r>
      <w:r w:rsidR="00275BC5" w:rsidRPr="0034426D">
        <w:rPr>
          <w:rFonts w:eastAsia="Times New Roman" w:cs="Times New Roman"/>
          <w:sz w:val="24"/>
          <w:szCs w:val="24"/>
          <w:lang w:val="en-US"/>
        </w:rPr>
        <w:t>.</w:t>
      </w:r>
    </w:p>
    <w:p w14:paraId="72008FD9" w14:textId="77777777" w:rsidR="00275BC5" w:rsidRPr="0034426D" w:rsidRDefault="00275BC5" w:rsidP="00341D07">
      <w:pPr>
        <w:autoSpaceDE w:val="0"/>
        <w:autoSpaceDN w:val="0"/>
        <w:adjustRightInd w:val="0"/>
        <w:spacing w:after="0" w:line="360" w:lineRule="auto"/>
        <w:jc w:val="both"/>
        <w:rPr>
          <w:rFonts w:cs="AdvTT5235d5a9"/>
          <w:sz w:val="24"/>
          <w:szCs w:val="24"/>
          <w:lang w:val="en-US"/>
        </w:rPr>
      </w:pPr>
      <w:r w:rsidRPr="0034426D">
        <w:rPr>
          <w:rFonts w:cs="AdvTT5235d5a9"/>
          <w:color w:val="000000"/>
          <w:sz w:val="24"/>
          <w:szCs w:val="24"/>
          <w:lang w:val="en-US"/>
        </w:rPr>
        <w:t xml:space="preserve">Although polyethylenglycol (PEG) exhibits several properties that are of relevance for pharmaceutical application </w:t>
      </w:r>
      <w:r w:rsidRPr="0034426D">
        <w:rPr>
          <w:rFonts w:cs="Arial"/>
          <w:color w:val="000000"/>
          <w:sz w:val="24"/>
          <w:szCs w:val="24"/>
          <w:shd w:val="clear" w:color="auto" w:fill="FFFFFF"/>
          <w:lang w:val="en-US"/>
        </w:rPr>
        <w:t>(e.g., lack of toxicity, fast clearance from the body, high solubility)</w:t>
      </w:r>
      <w:r w:rsidRPr="0034426D">
        <w:rPr>
          <w:rStyle w:val="apple-converted-space"/>
          <w:rFonts w:cs="Arial"/>
          <w:color w:val="000000"/>
          <w:sz w:val="24"/>
          <w:szCs w:val="24"/>
          <w:shd w:val="clear" w:color="auto" w:fill="FFFFFF"/>
          <w:lang w:val="en-US"/>
        </w:rPr>
        <w:t xml:space="preserve"> </w:t>
      </w:r>
      <w:r w:rsidR="00CA6EE7" w:rsidRPr="0034426D">
        <w:rPr>
          <w:rStyle w:val="apple-converted-space"/>
          <w:rFonts w:cs="Arial"/>
          <w:color w:val="000000"/>
          <w:sz w:val="24"/>
          <w:szCs w:val="24"/>
          <w:shd w:val="clear" w:color="auto" w:fill="FFFFFF"/>
          <w:lang w:val="en-US"/>
        </w:rPr>
        <w:lastRenderedPageBreak/>
        <w:t>[3</w:t>
      </w:r>
      <w:r w:rsidR="006B64EE">
        <w:rPr>
          <w:rStyle w:val="apple-converted-space"/>
          <w:rFonts w:cs="Arial"/>
          <w:color w:val="000000"/>
          <w:sz w:val="24"/>
          <w:szCs w:val="24"/>
          <w:shd w:val="clear" w:color="auto" w:fill="FFFFFF"/>
          <w:lang w:val="en-US"/>
        </w:rPr>
        <w:t>6</w:t>
      </w:r>
      <w:r w:rsidR="00CA6EE7" w:rsidRPr="0034426D">
        <w:rPr>
          <w:rStyle w:val="apple-converted-space"/>
          <w:rFonts w:cs="Arial"/>
          <w:color w:val="000000"/>
          <w:sz w:val="24"/>
          <w:szCs w:val="24"/>
          <w:shd w:val="clear" w:color="auto" w:fill="FFFFFF"/>
          <w:lang w:val="en-US"/>
        </w:rPr>
        <w:t>,3</w:t>
      </w:r>
      <w:r w:rsidR="006B64EE">
        <w:rPr>
          <w:rStyle w:val="apple-converted-space"/>
          <w:rFonts w:cs="Arial"/>
          <w:color w:val="000000"/>
          <w:sz w:val="24"/>
          <w:szCs w:val="24"/>
          <w:shd w:val="clear" w:color="auto" w:fill="FFFFFF"/>
          <w:lang w:val="en-US"/>
        </w:rPr>
        <w:t>7</w:t>
      </w:r>
      <w:r w:rsidR="00CA6EE7" w:rsidRPr="0034426D">
        <w:rPr>
          <w:rStyle w:val="apple-converted-space"/>
          <w:rFonts w:cs="Arial"/>
          <w:color w:val="000000"/>
          <w:sz w:val="24"/>
          <w:szCs w:val="24"/>
          <w:shd w:val="clear" w:color="auto" w:fill="FFFFFF"/>
          <w:lang w:val="en-US"/>
        </w:rPr>
        <w:t>]</w:t>
      </w:r>
      <w:r w:rsidRPr="0034426D">
        <w:rPr>
          <w:rFonts w:cs="AdvTT5235d5a9"/>
          <w:color w:val="000000"/>
          <w:sz w:val="24"/>
          <w:szCs w:val="24"/>
          <w:lang w:val="en-US"/>
        </w:rPr>
        <w:t xml:space="preserve">, PEG itself can be highly immunogenic thus compromising the </w:t>
      </w:r>
      <w:r w:rsidRPr="0034426D">
        <w:rPr>
          <w:rFonts w:cs="Arial"/>
          <w:color w:val="000000"/>
          <w:sz w:val="24"/>
          <w:szCs w:val="24"/>
          <w:shd w:val="clear" w:color="auto" w:fill="FFFFFF"/>
          <w:lang w:val="en-US"/>
        </w:rPr>
        <w:t>duration of pharmacologic activity</w:t>
      </w:r>
      <w:r w:rsidRPr="0034426D">
        <w:rPr>
          <w:rFonts w:cs="AdvTT5235d5a9"/>
          <w:color w:val="000000"/>
          <w:sz w:val="24"/>
          <w:szCs w:val="24"/>
          <w:lang w:val="en-US"/>
        </w:rPr>
        <w:t xml:space="preserve"> of protein drugs </w:t>
      </w:r>
      <w:r w:rsidR="00CA6EE7" w:rsidRPr="0034426D">
        <w:rPr>
          <w:rFonts w:cs="AdvTT5235d5a9"/>
          <w:color w:val="000000"/>
          <w:sz w:val="24"/>
          <w:szCs w:val="24"/>
          <w:lang w:val="en-US"/>
        </w:rPr>
        <w:t>[</w:t>
      </w:r>
      <w:r w:rsidR="006B64EE">
        <w:rPr>
          <w:rFonts w:cs="AdvTT5235d5a9"/>
          <w:color w:val="000000"/>
          <w:sz w:val="24"/>
          <w:szCs w:val="24"/>
          <w:lang w:val="en-US"/>
        </w:rPr>
        <w:t>38</w:t>
      </w:r>
      <w:r w:rsidR="00CA6EE7" w:rsidRPr="0034426D">
        <w:rPr>
          <w:rFonts w:cs="AdvTT5235d5a9"/>
          <w:color w:val="000000"/>
          <w:sz w:val="24"/>
          <w:szCs w:val="24"/>
          <w:lang w:val="en-US"/>
        </w:rPr>
        <w:t>]</w:t>
      </w:r>
      <w:r w:rsidRPr="0034426D">
        <w:rPr>
          <w:rFonts w:cs="AdvTT5235d5a9"/>
          <w:color w:val="000000"/>
          <w:sz w:val="24"/>
          <w:szCs w:val="24"/>
          <w:lang w:val="en-US"/>
        </w:rPr>
        <w:t xml:space="preserve">. In fact, </w:t>
      </w:r>
      <w:r w:rsidRPr="0034426D">
        <w:rPr>
          <w:rFonts w:cs="AdvTT5235d5a9"/>
          <w:sz w:val="24"/>
          <w:szCs w:val="24"/>
          <w:lang w:val="en-US"/>
        </w:rPr>
        <w:t>immunogenicity and relatively rapid inactivation require frequent patient</w:t>
      </w:r>
      <w:r w:rsidRPr="0034426D">
        <w:rPr>
          <w:rFonts w:cs="AdvTT5235d5a9"/>
          <w:color w:val="000000"/>
          <w:sz w:val="24"/>
          <w:szCs w:val="24"/>
          <w:lang w:val="en-US"/>
        </w:rPr>
        <w:t xml:space="preserve"> treatments to maintain therapeutic blood index. This need induces </w:t>
      </w:r>
      <w:r w:rsidR="000F6CFA" w:rsidRPr="0034426D">
        <w:rPr>
          <w:rFonts w:cs="AdvTT5235d5a9"/>
          <w:color w:val="000000"/>
          <w:sz w:val="24"/>
          <w:szCs w:val="24"/>
          <w:lang w:val="en-US"/>
        </w:rPr>
        <w:t xml:space="preserve">the production </w:t>
      </w:r>
      <w:r w:rsidRPr="0034426D">
        <w:rPr>
          <w:rFonts w:cs="AdvTT5235d5a9"/>
          <w:color w:val="000000"/>
          <w:sz w:val="24"/>
          <w:szCs w:val="24"/>
          <w:lang w:val="en-US"/>
        </w:rPr>
        <w:t>of high levels of antibody titers making this approach invasive and expensive</w:t>
      </w:r>
      <w:r w:rsidR="00AE5757" w:rsidRPr="0034426D">
        <w:rPr>
          <w:rFonts w:cs="AdvTT5235d5a9"/>
          <w:color w:val="000000"/>
          <w:sz w:val="24"/>
          <w:szCs w:val="24"/>
          <w:lang w:val="en-US"/>
        </w:rPr>
        <w:t xml:space="preserve">. </w:t>
      </w:r>
      <w:r w:rsidRPr="0034426D">
        <w:rPr>
          <w:rFonts w:cs="AdvTT5235d5a9"/>
          <w:color w:val="000000"/>
          <w:sz w:val="24"/>
          <w:szCs w:val="24"/>
          <w:lang w:val="en-US"/>
        </w:rPr>
        <w:t xml:space="preserve">Alternatively, an attractive option to improve protein plasma half-life could be their delivery inside </w:t>
      </w:r>
      <w:r w:rsidR="00B56F03" w:rsidRPr="0034426D">
        <w:rPr>
          <w:rFonts w:cs="AdvTT5235d5a9"/>
          <w:color w:val="000000"/>
          <w:sz w:val="24"/>
          <w:szCs w:val="24"/>
          <w:lang w:val="en-US"/>
        </w:rPr>
        <w:t>RBC</w:t>
      </w:r>
      <w:r w:rsidRPr="0034426D">
        <w:rPr>
          <w:rFonts w:cs="AdvTT5235d5a9"/>
          <w:color w:val="000000"/>
          <w:sz w:val="24"/>
          <w:szCs w:val="24"/>
          <w:lang w:val="en-US"/>
        </w:rPr>
        <w:t>s that does</w:t>
      </w:r>
      <w:r w:rsidR="003810E1">
        <w:rPr>
          <w:rFonts w:cs="AdvTT5235d5a9"/>
          <w:color w:val="000000"/>
          <w:sz w:val="24"/>
          <w:szCs w:val="24"/>
          <w:lang w:val="en-US"/>
        </w:rPr>
        <w:t xml:space="preserve"> </w:t>
      </w:r>
      <w:r w:rsidRPr="0034426D">
        <w:rPr>
          <w:rFonts w:cs="AdvTT5235d5a9"/>
          <w:color w:val="000000"/>
          <w:sz w:val="24"/>
          <w:szCs w:val="24"/>
          <w:lang w:val="en-US"/>
        </w:rPr>
        <w:t>n</w:t>
      </w:r>
      <w:r w:rsidR="003810E1">
        <w:rPr>
          <w:rFonts w:cs="AdvTT5235d5a9"/>
          <w:color w:val="000000"/>
          <w:sz w:val="24"/>
          <w:szCs w:val="24"/>
          <w:lang w:val="en-US"/>
        </w:rPr>
        <w:t>o</w:t>
      </w:r>
      <w:r w:rsidRPr="0034426D">
        <w:rPr>
          <w:rFonts w:cs="AdvTT5235d5a9"/>
          <w:color w:val="000000"/>
          <w:sz w:val="24"/>
          <w:szCs w:val="24"/>
          <w:lang w:val="en-US"/>
        </w:rPr>
        <w:t xml:space="preserve">t show </w:t>
      </w:r>
      <w:r w:rsidR="009A4E4B" w:rsidRPr="0034426D">
        <w:rPr>
          <w:rFonts w:cs="AdvTT5235d5a9"/>
          <w:color w:val="000000"/>
          <w:sz w:val="24"/>
          <w:szCs w:val="24"/>
          <w:lang w:val="en-US"/>
        </w:rPr>
        <w:t xml:space="preserve">the limitations of </w:t>
      </w:r>
      <w:r w:rsidRPr="0034426D">
        <w:rPr>
          <w:rFonts w:cs="AdvTT5235d5a9"/>
          <w:color w:val="000000"/>
          <w:sz w:val="24"/>
          <w:szCs w:val="24"/>
          <w:lang w:val="en-US"/>
        </w:rPr>
        <w:t xml:space="preserve">synthetic carriers: being endogenous cells they are safe and biocompatible, particularly when the autologous ones are used. </w:t>
      </w:r>
      <w:r w:rsidRPr="0034426D">
        <w:rPr>
          <w:rFonts w:cs="AdvTT5235d5a9"/>
          <w:sz w:val="24"/>
          <w:szCs w:val="24"/>
          <w:lang w:val="en-US"/>
        </w:rPr>
        <w:t xml:space="preserve">In fact, </w:t>
      </w:r>
      <w:r w:rsidRPr="0034426D">
        <w:rPr>
          <w:sz w:val="24"/>
          <w:szCs w:val="24"/>
          <w:lang w:val="en-US"/>
        </w:rPr>
        <w:t xml:space="preserve">clinical studies suggest that RBCs are ideal carriers for enzymes in circulation, </w:t>
      </w:r>
      <w:r w:rsidRPr="0034426D">
        <w:rPr>
          <w:rFonts w:cs="AdvTT5235d5a9"/>
          <w:sz w:val="24"/>
          <w:szCs w:val="24"/>
          <w:lang w:val="en-US"/>
        </w:rPr>
        <w:t xml:space="preserve">able to shield the loaded proteins from </w:t>
      </w:r>
      <w:r w:rsidRPr="0034426D">
        <w:rPr>
          <w:sz w:val="24"/>
          <w:szCs w:val="24"/>
          <w:lang w:val="en-US"/>
        </w:rPr>
        <w:t xml:space="preserve">premature </w:t>
      </w:r>
      <w:r w:rsidRPr="0034426D">
        <w:rPr>
          <w:rFonts w:cs="AdvTT5235d5a9"/>
          <w:sz w:val="24"/>
          <w:szCs w:val="24"/>
          <w:lang w:val="en-US"/>
        </w:rPr>
        <w:t>proteolytic degradation and inactivation by immune system</w:t>
      </w:r>
      <w:r w:rsidR="00B13B99" w:rsidRPr="0034426D">
        <w:rPr>
          <w:rFonts w:cs="AdvTT5235d5a9"/>
          <w:sz w:val="24"/>
          <w:szCs w:val="24"/>
          <w:lang w:val="en-US"/>
        </w:rPr>
        <w:t xml:space="preserve">, </w:t>
      </w:r>
      <w:r w:rsidRPr="0034426D">
        <w:rPr>
          <w:rFonts w:cs="AdvTT5235d5a9"/>
          <w:sz w:val="24"/>
          <w:szCs w:val="24"/>
          <w:lang w:val="en-US"/>
        </w:rPr>
        <w:t xml:space="preserve">hiding them from the physiological environment </w:t>
      </w:r>
      <w:r w:rsidR="00CA6EE7" w:rsidRPr="0034426D">
        <w:rPr>
          <w:rFonts w:cs="AdvTT5235d5a9"/>
          <w:sz w:val="24"/>
          <w:szCs w:val="24"/>
          <w:lang w:val="en-US"/>
        </w:rPr>
        <w:t>[3</w:t>
      </w:r>
      <w:r w:rsidR="006B64EE">
        <w:rPr>
          <w:rFonts w:cs="AdvTT5235d5a9"/>
          <w:sz w:val="24"/>
          <w:szCs w:val="24"/>
          <w:lang w:val="en-US"/>
        </w:rPr>
        <w:t>9</w:t>
      </w:r>
      <w:r w:rsidR="00CA6EE7" w:rsidRPr="0034426D">
        <w:rPr>
          <w:rFonts w:cs="AdvTT5235d5a9"/>
          <w:sz w:val="24"/>
          <w:szCs w:val="24"/>
          <w:lang w:val="en-US"/>
        </w:rPr>
        <w:t>]</w:t>
      </w:r>
      <w:r w:rsidRPr="0034426D">
        <w:rPr>
          <w:rFonts w:cs="AdvTT5235d5a9"/>
          <w:sz w:val="24"/>
          <w:szCs w:val="24"/>
          <w:lang w:val="en-US"/>
        </w:rPr>
        <w:t xml:space="preserve">, </w:t>
      </w:r>
      <w:r w:rsidRPr="0034426D">
        <w:rPr>
          <w:sz w:val="24"/>
          <w:szCs w:val="24"/>
          <w:lang w:val="en-US"/>
        </w:rPr>
        <w:t xml:space="preserve">particularly when repeated administrations are needed </w:t>
      </w:r>
      <w:r w:rsidR="00CA6EE7" w:rsidRPr="0034426D">
        <w:rPr>
          <w:sz w:val="24"/>
          <w:szCs w:val="24"/>
          <w:lang w:val="en-US"/>
        </w:rPr>
        <w:t>[</w:t>
      </w:r>
      <w:r w:rsidR="006B64EE">
        <w:rPr>
          <w:sz w:val="24"/>
          <w:szCs w:val="24"/>
          <w:lang w:val="en-US"/>
        </w:rPr>
        <w:t>40-4</w:t>
      </w:r>
      <w:r w:rsidR="00C87E40">
        <w:rPr>
          <w:sz w:val="24"/>
          <w:szCs w:val="24"/>
          <w:lang w:val="en-US"/>
        </w:rPr>
        <w:t>5</w:t>
      </w:r>
      <w:r w:rsidR="00CA6EE7" w:rsidRPr="0034426D">
        <w:rPr>
          <w:sz w:val="24"/>
          <w:szCs w:val="24"/>
          <w:lang w:val="en-US"/>
        </w:rPr>
        <w:t>]</w:t>
      </w:r>
      <w:r w:rsidR="00D35C31" w:rsidRPr="0034426D">
        <w:rPr>
          <w:sz w:val="24"/>
          <w:szCs w:val="24"/>
          <w:lang w:val="en-US"/>
        </w:rPr>
        <w:t>.</w:t>
      </w:r>
    </w:p>
    <w:p w14:paraId="1A9B7258" w14:textId="77777777" w:rsidR="00275BC5" w:rsidRPr="0034426D" w:rsidRDefault="00B56F03" w:rsidP="00341D07">
      <w:pPr>
        <w:autoSpaceDE w:val="0"/>
        <w:autoSpaceDN w:val="0"/>
        <w:adjustRightInd w:val="0"/>
        <w:spacing w:after="0" w:line="360" w:lineRule="auto"/>
        <w:jc w:val="both"/>
        <w:rPr>
          <w:sz w:val="24"/>
          <w:szCs w:val="24"/>
          <w:lang w:val="en-US"/>
        </w:rPr>
      </w:pPr>
      <w:r w:rsidRPr="0034426D">
        <w:rPr>
          <w:rFonts w:cs="AdvTT5235d5a9"/>
          <w:color w:val="000000"/>
          <w:sz w:val="24"/>
          <w:szCs w:val="24"/>
          <w:lang w:val="en-US"/>
        </w:rPr>
        <w:t>RBCs</w:t>
      </w:r>
      <w:r w:rsidR="00275BC5" w:rsidRPr="0034426D">
        <w:rPr>
          <w:rFonts w:cs="AdvTT5235d5a9"/>
          <w:color w:val="000000"/>
          <w:sz w:val="24"/>
          <w:szCs w:val="24"/>
          <w:lang w:val="en-US"/>
        </w:rPr>
        <w:t xml:space="preserve"> loaded with therapeutic proteins can be employed as delivery system in different types of application: approaches of </w:t>
      </w:r>
      <w:r w:rsidR="00275BC5" w:rsidRPr="0034426D">
        <w:rPr>
          <w:sz w:val="24"/>
          <w:szCs w:val="24"/>
          <w:lang w:val="en-US"/>
        </w:rPr>
        <w:t xml:space="preserve">enzyme replacement therapy (ERT) to treat </w:t>
      </w:r>
      <w:r w:rsidR="00275BC5" w:rsidRPr="0034426D">
        <w:rPr>
          <w:rFonts w:cs="Arial"/>
          <w:color w:val="000000"/>
          <w:sz w:val="24"/>
          <w:szCs w:val="24"/>
          <w:shd w:val="clear" w:color="auto" w:fill="FFFFFF"/>
          <w:lang w:val="en-US"/>
        </w:rPr>
        <w:t>inherited metabolic disorder</w:t>
      </w:r>
      <w:r w:rsidR="009A4E4B" w:rsidRPr="0034426D">
        <w:rPr>
          <w:rFonts w:cs="Arial"/>
          <w:color w:val="000000"/>
          <w:sz w:val="24"/>
          <w:szCs w:val="24"/>
          <w:shd w:val="clear" w:color="auto" w:fill="FFFFFF"/>
          <w:lang w:val="en-US"/>
        </w:rPr>
        <w:t>s</w:t>
      </w:r>
      <w:r w:rsidR="00275BC5" w:rsidRPr="0034426D">
        <w:rPr>
          <w:rFonts w:cs="Arial"/>
          <w:color w:val="000000"/>
          <w:sz w:val="24"/>
          <w:szCs w:val="24"/>
          <w:shd w:val="clear" w:color="auto" w:fill="FFFFFF"/>
          <w:lang w:val="en-US"/>
        </w:rPr>
        <w:t>,</w:t>
      </w:r>
      <w:r w:rsidR="00275BC5" w:rsidRPr="0034426D">
        <w:rPr>
          <w:sz w:val="24"/>
          <w:szCs w:val="24"/>
          <w:lang w:val="en-US"/>
        </w:rPr>
        <w:t xml:space="preserve"> removal of </w:t>
      </w:r>
      <w:r w:rsidR="004873D8" w:rsidRPr="0034426D">
        <w:rPr>
          <w:sz w:val="24"/>
          <w:szCs w:val="24"/>
          <w:lang w:val="en-US"/>
        </w:rPr>
        <w:t>undesired</w:t>
      </w:r>
      <w:r w:rsidR="00275BC5" w:rsidRPr="0034426D">
        <w:rPr>
          <w:sz w:val="24"/>
          <w:szCs w:val="24"/>
          <w:lang w:val="en-US"/>
        </w:rPr>
        <w:t xml:space="preserve"> </w:t>
      </w:r>
      <w:r w:rsidR="004873D8" w:rsidRPr="0034426D">
        <w:rPr>
          <w:sz w:val="24"/>
          <w:szCs w:val="24"/>
          <w:lang w:val="en-US"/>
        </w:rPr>
        <w:t>metabolites from the blood</w:t>
      </w:r>
      <w:r w:rsidR="00275BC5" w:rsidRPr="0034426D">
        <w:rPr>
          <w:sz w:val="24"/>
          <w:szCs w:val="24"/>
          <w:lang w:val="en-US"/>
        </w:rPr>
        <w:t xml:space="preserve">stream (detoxification) </w:t>
      </w:r>
      <w:r w:rsidR="00F757CE" w:rsidRPr="0034426D">
        <w:rPr>
          <w:sz w:val="24"/>
          <w:szCs w:val="24"/>
          <w:lang w:val="en-US"/>
        </w:rPr>
        <w:t>[4</w:t>
      </w:r>
      <w:r w:rsidR="00C87E40">
        <w:rPr>
          <w:sz w:val="24"/>
          <w:szCs w:val="24"/>
          <w:lang w:val="en-US"/>
        </w:rPr>
        <w:t>6</w:t>
      </w:r>
      <w:r w:rsidR="00F757CE" w:rsidRPr="0034426D">
        <w:rPr>
          <w:sz w:val="24"/>
          <w:szCs w:val="24"/>
          <w:lang w:val="en-US"/>
        </w:rPr>
        <w:t>,4</w:t>
      </w:r>
      <w:r w:rsidR="00C87E40">
        <w:rPr>
          <w:sz w:val="24"/>
          <w:szCs w:val="24"/>
          <w:lang w:val="en-US"/>
        </w:rPr>
        <w:t>7</w:t>
      </w:r>
      <w:r w:rsidR="00F757CE" w:rsidRPr="0034426D">
        <w:rPr>
          <w:sz w:val="24"/>
          <w:szCs w:val="24"/>
          <w:lang w:val="en-US"/>
        </w:rPr>
        <w:t xml:space="preserve">] </w:t>
      </w:r>
      <w:r w:rsidR="00275BC5" w:rsidRPr="0034426D">
        <w:rPr>
          <w:sz w:val="24"/>
          <w:szCs w:val="24"/>
          <w:lang w:val="en-US"/>
        </w:rPr>
        <w:t>or depletion of target amino</w:t>
      </w:r>
      <w:r w:rsidR="00A62874" w:rsidRPr="0034426D">
        <w:rPr>
          <w:sz w:val="24"/>
          <w:szCs w:val="24"/>
          <w:lang w:val="en-US"/>
        </w:rPr>
        <w:t xml:space="preserve"> </w:t>
      </w:r>
      <w:r w:rsidR="00275BC5" w:rsidRPr="0034426D">
        <w:rPr>
          <w:sz w:val="24"/>
          <w:szCs w:val="24"/>
          <w:lang w:val="en-US"/>
        </w:rPr>
        <w:t>acid</w:t>
      </w:r>
      <w:r w:rsidR="009A4E4B" w:rsidRPr="0034426D">
        <w:rPr>
          <w:sz w:val="24"/>
          <w:szCs w:val="24"/>
          <w:lang w:val="en-US"/>
        </w:rPr>
        <w:t>s</w:t>
      </w:r>
      <w:r w:rsidR="00275BC5" w:rsidRPr="0034426D">
        <w:rPr>
          <w:sz w:val="24"/>
          <w:szCs w:val="24"/>
          <w:lang w:val="en-US"/>
        </w:rPr>
        <w:t xml:space="preserve"> involved in cancer cell proliferation. </w:t>
      </w:r>
      <w:r w:rsidR="00857047" w:rsidRPr="0034426D">
        <w:rPr>
          <w:sz w:val="24"/>
          <w:szCs w:val="24"/>
          <w:lang w:val="en-US"/>
        </w:rPr>
        <w:t xml:space="preserve">In </w:t>
      </w:r>
      <w:r w:rsidR="00857047" w:rsidRPr="0034426D">
        <w:rPr>
          <w:b/>
          <w:sz w:val="24"/>
          <w:szCs w:val="24"/>
          <w:lang w:val="en-US"/>
        </w:rPr>
        <w:t xml:space="preserve">Figure 1 </w:t>
      </w:r>
      <w:r w:rsidR="00857047" w:rsidRPr="0034426D">
        <w:rPr>
          <w:sz w:val="24"/>
          <w:szCs w:val="24"/>
          <w:lang w:val="en-US"/>
        </w:rPr>
        <w:t>is illustrated the process by which enzymes entrapped into RBC</w:t>
      </w:r>
      <w:r w:rsidR="009A4E4B" w:rsidRPr="0034426D">
        <w:rPr>
          <w:sz w:val="24"/>
          <w:szCs w:val="24"/>
          <w:lang w:val="en-US"/>
        </w:rPr>
        <w:t>s</w:t>
      </w:r>
      <w:r w:rsidR="00857047" w:rsidRPr="0034426D">
        <w:rPr>
          <w:sz w:val="24"/>
          <w:szCs w:val="24"/>
          <w:lang w:val="en-US"/>
        </w:rPr>
        <w:t xml:space="preserve"> metabolize cell membrane-permeating substrates in every of these conditions.</w:t>
      </w:r>
    </w:p>
    <w:p w14:paraId="587E4CD8" w14:textId="77777777" w:rsidR="00BE1C04" w:rsidRPr="0034426D" w:rsidRDefault="00275BC5" w:rsidP="005A1343">
      <w:pPr>
        <w:pStyle w:val="desc"/>
        <w:shd w:val="clear" w:color="auto" w:fill="FFFFFF"/>
        <w:spacing w:before="0" w:beforeAutospacing="0" w:after="0" w:afterAutospacing="0" w:line="360" w:lineRule="auto"/>
        <w:jc w:val="both"/>
        <w:rPr>
          <w:rFonts w:asciiTheme="minorHAnsi" w:hAnsiTheme="minorHAnsi" w:cs="Arial"/>
          <w:color w:val="000000"/>
          <w:lang w:val="en-US"/>
        </w:rPr>
      </w:pPr>
      <w:r w:rsidRPr="0034426D">
        <w:rPr>
          <w:rFonts w:asciiTheme="minorHAnsi" w:hAnsiTheme="minorHAnsi"/>
          <w:lang w:val="en-US"/>
        </w:rPr>
        <w:t>The first category includes some inborn errors of metabolism involving enzyme deficiencies such as adenosine deaminase (ADA) deficiency, in which the absence of this enzyme induce</w:t>
      </w:r>
      <w:r w:rsidR="009A4E4B" w:rsidRPr="0034426D">
        <w:rPr>
          <w:rFonts w:asciiTheme="minorHAnsi" w:hAnsiTheme="minorHAnsi"/>
          <w:lang w:val="en-US"/>
        </w:rPr>
        <w:t>s</w:t>
      </w:r>
      <w:r w:rsidRPr="0034426D">
        <w:rPr>
          <w:rFonts w:asciiTheme="minorHAnsi" w:hAnsiTheme="minorHAnsi"/>
          <w:lang w:val="en-US"/>
        </w:rPr>
        <w:t xml:space="preserve"> an accumulation of its substrates (adenosine, Ado, and 2’-deoxyadenosine, dAdo)</w:t>
      </w:r>
      <w:r w:rsidR="009A4E4B" w:rsidRPr="0034426D">
        <w:rPr>
          <w:rFonts w:asciiTheme="minorHAnsi" w:hAnsiTheme="minorHAnsi"/>
          <w:lang w:val="en-US"/>
        </w:rPr>
        <w:t>,</w:t>
      </w:r>
      <w:r w:rsidRPr="0034426D">
        <w:rPr>
          <w:rFonts w:asciiTheme="minorHAnsi" w:hAnsiTheme="minorHAnsi"/>
          <w:lang w:val="en-US"/>
        </w:rPr>
        <w:t xml:space="preserve"> lead</w:t>
      </w:r>
      <w:r w:rsidR="009A4E4B" w:rsidRPr="0034426D">
        <w:rPr>
          <w:rFonts w:asciiTheme="minorHAnsi" w:hAnsiTheme="minorHAnsi"/>
          <w:lang w:val="en-US"/>
        </w:rPr>
        <w:t>ing</w:t>
      </w:r>
      <w:r w:rsidRPr="0034426D">
        <w:rPr>
          <w:rFonts w:asciiTheme="minorHAnsi" w:hAnsiTheme="minorHAnsi"/>
          <w:color w:val="0070C0"/>
          <w:lang w:val="en-US"/>
        </w:rPr>
        <w:t xml:space="preserve"> </w:t>
      </w:r>
      <w:r w:rsidRPr="0034426D">
        <w:rPr>
          <w:rFonts w:asciiTheme="minorHAnsi" w:hAnsiTheme="minorHAnsi"/>
          <w:lang w:val="en-US"/>
        </w:rPr>
        <w:t>to preferential intracellular phosphorylation of dAdo to deoxyadenosine triphosphate (dATP). The progressive increase of these purine nucleotide</w:t>
      </w:r>
      <w:r w:rsidR="00D22464" w:rsidRPr="0034426D">
        <w:rPr>
          <w:rFonts w:asciiTheme="minorHAnsi" w:hAnsiTheme="minorHAnsi"/>
          <w:lang w:val="en-US"/>
        </w:rPr>
        <w:t>s’</w:t>
      </w:r>
      <w:r w:rsidRPr="0034426D">
        <w:rPr>
          <w:rFonts w:asciiTheme="minorHAnsi" w:hAnsiTheme="minorHAnsi"/>
          <w:lang w:val="en-US"/>
        </w:rPr>
        <w:t xml:space="preserve"> metabolites </w:t>
      </w:r>
      <w:r w:rsidR="00D22464" w:rsidRPr="0034426D">
        <w:rPr>
          <w:rFonts w:asciiTheme="minorHAnsi" w:hAnsiTheme="minorHAnsi"/>
          <w:lang w:val="en-US"/>
        </w:rPr>
        <w:t>until</w:t>
      </w:r>
      <w:r w:rsidRPr="0034426D">
        <w:rPr>
          <w:rFonts w:asciiTheme="minorHAnsi" w:hAnsiTheme="minorHAnsi"/>
          <w:lang w:val="en-US"/>
        </w:rPr>
        <w:t xml:space="preserve"> toxic concentrations cause</w:t>
      </w:r>
      <w:r w:rsidR="00791D01" w:rsidRPr="0034426D">
        <w:rPr>
          <w:rFonts w:asciiTheme="minorHAnsi" w:hAnsiTheme="minorHAnsi"/>
          <w:lang w:val="en-US"/>
        </w:rPr>
        <w:t>s</w:t>
      </w:r>
      <w:r w:rsidRPr="0034426D">
        <w:rPr>
          <w:rFonts w:asciiTheme="minorHAnsi" w:hAnsiTheme="minorHAnsi"/>
          <w:lang w:val="en-US"/>
        </w:rPr>
        <w:t xml:space="preserve"> a lymphotoxic effect and severe combined immunodeficiency (SCID). Stem cell transplantation from human leukocyte antigen (HLA)-identical sibling donors is usually the first-line treatment option. </w:t>
      </w:r>
      <w:r w:rsidR="00BF3F0C" w:rsidRPr="0034426D">
        <w:rPr>
          <w:rFonts w:asciiTheme="minorHAnsi" w:hAnsiTheme="minorHAnsi"/>
          <w:lang w:val="en-US"/>
        </w:rPr>
        <w:t xml:space="preserve">As an alternative ADA gene therapy is emerging </w:t>
      </w:r>
      <w:r w:rsidR="00D35C31" w:rsidRPr="0034426D">
        <w:rPr>
          <w:rFonts w:asciiTheme="minorHAnsi" w:hAnsiTheme="minorHAnsi"/>
          <w:lang w:val="en-US"/>
        </w:rPr>
        <w:t>[</w:t>
      </w:r>
      <w:r w:rsidR="00C87E40" w:rsidRPr="0034426D">
        <w:rPr>
          <w:rFonts w:asciiTheme="minorHAnsi" w:hAnsiTheme="minorHAnsi"/>
          <w:lang w:val="en-US"/>
        </w:rPr>
        <w:t>4</w:t>
      </w:r>
      <w:r w:rsidR="00C87E40">
        <w:rPr>
          <w:rFonts w:asciiTheme="minorHAnsi" w:hAnsiTheme="minorHAnsi"/>
          <w:lang w:val="en-US"/>
        </w:rPr>
        <w:t>8</w:t>
      </w:r>
      <w:r w:rsidR="00D35C31" w:rsidRPr="0034426D">
        <w:rPr>
          <w:rFonts w:asciiTheme="minorHAnsi" w:hAnsiTheme="minorHAnsi"/>
          <w:lang w:val="en-US"/>
        </w:rPr>
        <w:t>].</w:t>
      </w:r>
      <w:r w:rsidR="00BF3F0C" w:rsidRPr="0034426D">
        <w:rPr>
          <w:rFonts w:asciiTheme="minorHAnsi" w:hAnsiTheme="minorHAnsi" w:cs="Arial"/>
          <w:color w:val="000000"/>
          <w:lang w:val="en-US"/>
        </w:rPr>
        <w:t xml:space="preserve"> </w:t>
      </w:r>
      <w:r w:rsidRPr="0034426D">
        <w:rPr>
          <w:rFonts w:asciiTheme="minorHAnsi" w:hAnsiTheme="minorHAnsi"/>
          <w:lang w:val="en-US"/>
        </w:rPr>
        <w:t>For patients without suitable donors, enzyme replacement therapy (ERT) with PEG-ADA is available</w:t>
      </w:r>
      <w:r w:rsidR="00F757CE" w:rsidRPr="0034426D">
        <w:rPr>
          <w:rFonts w:asciiTheme="minorHAnsi" w:hAnsiTheme="minorHAnsi"/>
          <w:lang w:val="en-US"/>
        </w:rPr>
        <w:t xml:space="preserve"> [</w:t>
      </w:r>
      <w:r w:rsidR="00C87E40">
        <w:rPr>
          <w:rFonts w:asciiTheme="minorHAnsi" w:hAnsiTheme="minorHAnsi"/>
          <w:lang w:val="en-US"/>
        </w:rPr>
        <w:t>49</w:t>
      </w:r>
      <w:r w:rsidR="006B64EE">
        <w:rPr>
          <w:rFonts w:asciiTheme="minorHAnsi" w:hAnsiTheme="minorHAnsi"/>
          <w:lang w:val="en-US"/>
        </w:rPr>
        <w:t>-5</w:t>
      </w:r>
      <w:r w:rsidR="00C87E40">
        <w:rPr>
          <w:rFonts w:asciiTheme="minorHAnsi" w:hAnsiTheme="minorHAnsi"/>
          <w:lang w:val="en-US"/>
        </w:rPr>
        <w:t>3</w:t>
      </w:r>
      <w:r w:rsidR="00F757CE" w:rsidRPr="0034426D">
        <w:rPr>
          <w:rFonts w:asciiTheme="minorHAnsi" w:hAnsiTheme="minorHAnsi"/>
          <w:lang w:val="en-US"/>
        </w:rPr>
        <w:t>]</w:t>
      </w:r>
      <w:r w:rsidRPr="0034426D">
        <w:rPr>
          <w:rFonts w:asciiTheme="minorHAnsi" w:hAnsiTheme="minorHAnsi"/>
          <w:lang w:val="en-US"/>
        </w:rPr>
        <w:t>, but the slight improvement of ADA plasma half-life (from 30</w:t>
      </w:r>
      <w:r w:rsidR="009A4E4B" w:rsidRPr="0034426D">
        <w:rPr>
          <w:rFonts w:asciiTheme="minorHAnsi" w:hAnsiTheme="minorHAnsi"/>
          <w:lang w:val="en-US"/>
        </w:rPr>
        <w:t xml:space="preserve"> </w:t>
      </w:r>
      <w:r w:rsidRPr="0034426D">
        <w:rPr>
          <w:rFonts w:asciiTheme="minorHAnsi" w:hAnsiTheme="minorHAnsi"/>
          <w:lang w:val="en-US"/>
        </w:rPr>
        <w:t>min to 72</w:t>
      </w:r>
      <w:r w:rsidR="009A4E4B" w:rsidRPr="0034426D">
        <w:rPr>
          <w:rFonts w:asciiTheme="minorHAnsi" w:hAnsiTheme="minorHAnsi"/>
          <w:lang w:val="en-US"/>
        </w:rPr>
        <w:t xml:space="preserve"> </w:t>
      </w:r>
      <w:r w:rsidRPr="0034426D">
        <w:rPr>
          <w:rFonts w:asciiTheme="minorHAnsi" w:hAnsiTheme="minorHAnsi"/>
          <w:lang w:val="en-US"/>
        </w:rPr>
        <w:t xml:space="preserve">h, </w:t>
      </w:r>
      <w:r w:rsidR="007B6310" w:rsidRPr="0034426D">
        <w:rPr>
          <w:rFonts w:asciiTheme="minorHAnsi" w:hAnsiTheme="minorHAnsi"/>
          <w:lang w:val="en-US"/>
        </w:rPr>
        <w:t>[</w:t>
      </w:r>
      <w:r w:rsidR="006B64EE">
        <w:rPr>
          <w:rFonts w:asciiTheme="minorHAnsi" w:hAnsiTheme="minorHAnsi"/>
          <w:lang w:val="en-US"/>
        </w:rPr>
        <w:t>5</w:t>
      </w:r>
      <w:r w:rsidR="00C87E40">
        <w:rPr>
          <w:rFonts w:asciiTheme="minorHAnsi" w:hAnsiTheme="minorHAnsi"/>
          <w:lang w:val="en-US"/>
        </w:rPr>
        <w:t>0</w:t>
      </w:r>
      <w:r w:rsidR="007B6310" w:rsidRPr="0034426D">
        <w:rPr>
          <w:rFonts w:asciiTheme="minorHAnsi" w:hAnsiTheme="minorHAnsi"/>
          <w:lang w:val="en-US"/>
        </w:rPr>
        <w:t>]</w:t>
      </w:r>
      <w:r w:rsidRPr="0034426D">
        <w:rPr>
          <w:rFonts w:asciiTheme="minorHAnsi" w:hAnsiTheme="minorHAnsi"/>
          <w:lang w:val="en-US"/>
        </w:rPr>
        <w:t xml:space="preserve">) and evocation of immune response by neutralizing </w:t>
      </w:r>
      <w:r w:rsidRPr="0034426D">
        <w:rPr>
          <w:rStyle w:val="apple-converted-space"/>
          <w:rFonts w:asciiTheme="minorHAnsi" w:hAnsiTheme="minorHAnsi" w:cs="Arial"/>
          <w:color w:val="000000"/>
          <w:shd w:val="clear" w:color="auto" w:fill="FFFFFF"/>
          <w:lang w:val="en-US"/>
        </w:rPr>
        <w:t xml:space="preserve">anti-ADA and anti-PEG antibodies require frequent intramuscular injections, making treatment invasive and expensive. </w:t>
      </w:r>
      <w:r w:rsidRPr="0034426D">
        <w:rPr>
          <w:rFonts w:asciiTheme="minorHAnsi" w:hAnsiTheme="minorHAnsi"/>
          <w:lang w:val="en-US"/>
        </w:rPr>
        <w:t>Therefore</w:t>
      </w:r>
      <w:r w:rsidR="009A4E4B" w:rsidRPr="0034426D">
        <w:rPr>
          <w:rFonts w:asciiTheme="minorHAnsi" w:hAnsiTheme="minorHAnsi"/>
          <w:lang w:val="en-US"/>
        </w:rPr>
        <w:t>,</w:t>
      </w:r>
      <w:r w:rsidRPr="0034426D">
        <w:rPr>
          <w:rFonts w:asciiTheme="minorHAnsi" w:hAnsiTheme="minorHAnsi"/>
          <w:lang w:val="en-US"/>
        </w:rPr>
        <w:t xml:space="preserve"> therapeutic approach based on ADA-encapsulated autologous RBCs </w:t>
      </w:r>
      <w:r w:rsidR="007B6310" w:rsidRPr="0034426D">
        <w:rPr>
          <w:rFonts w:asciiTheme="minorHAnsi" w:hAnsiTheme="minorHAnsi"/>
          <w:lang w:val="en-US"/>
        </w:rPr>
        <w:t>[</w:t>
      </w:r>
      <w:r w:rsidR="006B64EE">
        <w:rPr>
          <w:rFonts w:asciiTheme="minorHAnsi" w:hAnsiTheme="minorHAnsi"/>
          <w:lang w:val="en-US"/>
        </w:rPr>
        <w:t>43</w:t>
      </w:r>
      <w:r w:rsidR="007B6310" w:rsidRPr="0034426D">
        <w:rPr>
          <w:rFonts w:asciiTheme="minorHAnsi" w:hAnsiTheme="minorHAnsi"/>
          <w:lang w:val="en-US"/>
        </w:rPr>
        <w:t xml:space="preserve">] </w:t>
      </w:r>
      <w:r w:rsidRPr="0034426D">
        <w:rPr>
          <w:rFonts w:asciiTheme="minorHAnsi" w:hAnsiTheme="minorHAnsi"/>
          <w:lang w:val="en-US"/>
        </w:rPr>
        <w:t xml:space="preserve">could bring benefit for all these patients, thanks to the ability of loaded erythrocyte to maintain sustained ADA activity permitting the degradation of plasma dAdo </w:t>
      </w:r>
      <w:r w:rsidR="009A4E4B" w:rsidRPr="0034426D">
        <w:rPr>
          <w:rFonts w:asciiTheme="minorHAnsi" w:hAnsiTheme="minorHAnsi"/>
          <w:lang w:val="en-US"/>
        </w:rPr>
        <w:t>(</w:t>
      </w:r>
      <w:r w:rsidRPr="0034426D">
        <w:rPr>
          <w:rFonts w:asciiTheme="minorHAnsi" w:hAnsiTheme="minorHAnsi"/>
          <w:lang w:val="en-US"/>
        </w:rPr>
        <w:t xml:space="preserve">which is able to permeate the </w:t>
      </w:r>
      <w:r w:rsidR="00B56F03" w:rsidRPr="0034426D">
        <w:rPr>
          <w:rFonts w:asciiTheme="minorHAnsi" w:hAnsiTheme="minorHAnsi"/>
          <w:lang w:val="en-US"/>
        </w:rPr>
        <w:t>RBC</w:t>
      </w:r>
      <w:r w:rsidRPr="0034426D">
        <w:rPr>
          <w:rFonts w:asciiTheme="minorHAnsi" w:hAnsiTheme="minorHAnsi"/>
          <w:lang w:val="en-US"/>
        </w:rPr>
        <w:t xml:space="preserve"> membrane</w:t>
      </w:r>
      <w:r w:rsidR="009A4E4B" w:rsidRPr="0034426D">
        <w:rPr>
          <w:rFonts w:asciiTheme="minorHAnsi" w:hAnsiTheme="minorHAnsi"/>
          <w:lang w:val="en-US"/>
        </w:rPr>
        <w:t>)</w:t>
      </w:r>
      <w:r w:rsidRPr="0034426D">
        <w:rPr>
          <w:rFonts w:asciiTheme="minorHAnsi" w:hAnsiTheme="minorHAnsi"/>
          <w:lang w:val="en-US"/>
        </w:rPr>
        <w:t xml:space="preserve">. In fact, carrier ADA-erythrocytes </w:t>
      </w:r>
      <w:r w:rsidR="009A4E4B" w:rsidRPr="0034426D">
        <w:rPr>
          <w:rFonts w:asciiTheme="minorHAnsi" w:hAnsiTheme="minorHAnsi"/>
          <w:lang w:val="en-US"/>
        </w:rPr>
        <w:t xml:space="preserve">provided </w:t>
      </w:r>
      <w:r w:rsidRPr="0034426D">
        <w:rPr>
          <w:rFonts w:asciiTheme="minorHAnsi" w:hAnsiTheme="minorHAnsi"/>
          <w:i/>
          <w:lang w:val="en-US"/>
        </w:rPr>
        <w:t xml:space="preserve">in vivo </w:t>
      </w:r>
      <w:r w:rsidRPr="0034426D">
        <w:rPr>
          <w:rFonts w:asciiTheme="minorHAnsi" w:hAnsiTheme="minorHAnsi"/>
          <w:lang w:val="en-US"/>
        </w:rPr>
        <w:t xml:space="preserve">metabolic and clinical effect reducing dATP concentration and increasing absolute lymphocyte counts </w:t>
      </w:r>
      <w:r w:rsidR="00D35C31" w:rsidRPr="0034426D">
        <w:rPr>
          <w:rFonts w:asciiTheme="minorHAnsi" w:hAnsiTheme="minorHAnsi"/>
          <w:lang w:val="en-US"/>
        </w:rPr>
        <w:t>[</w:t>
      </w:r>
      <w:r w:rsidR="006B64EE">
        <w:rPr>
          <w:rFonts w:asciiTheme="minorHAnsi" w:hAnsiTheme="minorHAnsi"/>
          <w:lang w:val="en-US"/>
        </w:rPr>
        <w:t>45</w:t>
      </w:r>
      <w:r w:rsidR="00D35C31" w:rsidRPr="0034426D">
        <w:rPr>
          <w:rFonts w:asciiTheme="minorHAnsi" w:hAnsiTheme="minorHAnsi"/>
          <w:lang w:val="en-US"/>
        </w:rPr>
        <w:t>].</w:t>
      </w:r>
    </w:p>
    <w:p w14:paraId="0056E120" w14:textId="77777777" w:rsidR="00275BC5" w:rsidRPr="0034426D" w:rsidRDefault="00275BC5" w:rsidP="00341D07">
      <w:pPr>
        <w:autoSpaceDE w:val="0"/>
        <w:autoSpaceDN w:val="0"/>
        <w:adjustRightInd w:val="0"/>
        <w:spacing w:after="0" w:line="360" w:lineRule="auto"/>
        <w:jc w:val="both"/>
        <w:rPr>
          <w:sz w:val="24"/>
          <w:szCs w:val="24"/>
          <w:lang w:val="en-US"/>
        </w:rPr>
      </w:pPr>
      <w:r w:rsidRPr="0034426D">
        <w:rPr>
          <w:sz w:val="24"/>
          <w:szCs w:val="24"/>
          <w:lang w:val="en-US"/>
        </w:rPr>
        <w:lastRenderedPageBreak/>
        <w:t>In the same field can be place</w:t>
      </w:r>
      <w:r w:rsidR="00D22464" w:rsidRPr="0034426D">
        <w:rPr>
          <w:sz w:val="24"/>
          <w:szCs w:val="24"/>
          <w:lang w:val="en-US"/>
        </w:rPr>
        <w:t>d</w:t>
      </w:r>
      <w:r w:rsidRPr="0034426D">
        <w:rPr>
          <w:sz w:val="24"/>
          <w:szCs w:val="24"/>
          <w:lang w:val="en-US"/>
        </w:rPr>
        <w:t xml:space="preserve"> </w:t>
      </w:r>
      <w:r w:rsidRPr="0034426D">
        <w:rPr>
          <w:rFonts w:cs="Arial"/>
          <w:color w:val="000000"/>
          <w:sz w:val="24"/>
          <w:szCs w:val="24"/>
          <w:shd w:val="clear" w:color="auto" w:fill="FFFFFF"/>
          <w:lang w:val="en-US"/>
        </w:rPr>
        <w:t>another congenital enzyme deficiency, the m</w:t>
      </w:r>
      <w:r w:rsidRPr="0034426D">
        <w:rPr>
          <w:sz w:val="24"/>
          <w:szCs w:val="24"/>
          <w:lang w:val="en-US"/>
        </w:rPr>
        <w:t>itochondrial neurogastrointestinal encephalomyopathy (MNGIE), a rare autosomal recessive metabolic disorder caused by mutations in the nuclear TYMP gene encoding for the enzyme thymidine phosphorylase (TP)</w:t>
      </w:r>
      <w:r w:rsidR="009A4E4B" w:rsidRPr="0034426D">
        <w:rPr>
          <w:sz w:val="24"/>
          <w:szCs w:val="24"/>
          <w:lang w:val="en-US"/>
        </w:rPr>
        <w:t xml:space="preserve">; such alterations cause </w:t>
      </w:r>
      <w:r w:rsidRPr="0034426D">
        <w:rPr>
          <w:sz w:val="24"/>
          <w:szCs w:val="24"/>
          <w:lang w:val="en-US"/>
        </w:rPr>
        <w:t xml:space="preserve">a plasma and tissue accumulation of thymidine and deoxyuridine, which </w:t>
      </w:r>
      <w:r w:rsidR="009A4E4B" w:rsidRPr="0034426D">
        <w:rPr>
          <w:sz w:val="24"/>
          <w:szCs w:val="24"/>
          <w:lang w:val="en-US"/>
        </w:rPr>
        <w:t xml:space="preserve">in turn </w:t>
      </w:r>
      <w:r w:rsidRPr="0034426D">
        <w:rPr>
          <w:sz w:val="24"/>
          <w:szCs w:val="24"/>
          <w:lang w:val="en-US"/>
        </w:rPr>
        <w:t>generate</w:t>
      </w:r>
      <w:r w:rsidR="009A4E4B" w:rsidRPr="0034426D">
        <w:rPr>
          <w:sz w:val="24"/>
          <w:szCs w:val="24"/>
          <w:lang w:val="en-US"/>
        </w:rPr>
        <w:t>s</w:t>
      </w:r>
      <w:r w:rsidRPr="0034426D">
        <w:rPr>
          <w:sz w:val="24"/>
          <w:szCs w:val="24"/>
          <w:lang w:val="en-US"/>
        </w:rPr>
        <w:t xml:space="preserve"> imbalances within the mitochondrial nucleotide pools, responsible </w:t>
      </w:r>
      <w:r w:rsidR="009A4E4B" w:rsidRPr="0034426D">
        <w:rPr>
          <w:sz w:val="24"/>
          <w:szCs w:val="24"/>
          <w:lang w:val="en-US"/>
        </w:rPr>
        <w:t xml:space="preserve">for </w:t>
      </w:r>
      <w:r w:rsidRPr="0034426D">
        <w:rPr>
          <w:sz w:val="24"/>
          <w:szCs w:val="24"/>
          <w:lang w:val="en-US"/>
        </w:rPr>
        <w:t xml:space="preserve">mitochondrial dysfunction </w:t>
      </w:r>
      <w:r w:rsidR="00365472" w:rsidRPr="0034426D">
        <w:rPr>
          <w:sz w:val="24"/>
          <w:szCs w:val="24"/>
          <w:lang w:val="en-US"/>
        </w:rPr>
        <w:t>[</w:t>
      </w:r>
      <w:r w:rsidR="006B64EE">
        <w:rPr>
          <w:sz w:val="24"/>
          <w:szCs w:val="24"/>
          <w:lang w:val="en-US"/>
        </w:rPr>
        <w:t>5</w:t>
      </w:r>
      <w:r w:rsidR="00C87E40">
        <w:rPr>
          <w:sz w:val="24"/>
          <w:szCs w:val="24"/>
          <w:lang w:val="en-US"/>
        </w:rPr>
        <w:t>4</w:t>
      </w:r>
      <w:r w:rsidR="006B64EE">
        <w:rPr>
          <w:sz w:val="24"/>
          <w:szCs w:val="24"/>
          <w:lang w:val="en-US"/>
        </w:rPr>
        <w:t>-5</w:t>
      </w:r>
      <w:r w:rsidR="00C87E40">
        <w:rPr>
          <w:sz w:val="24"/>
          <w:szCs w:val="24"/>
          <w:lang w:val="en-US"/>
        </w:rPr>
        <w:t>6</w:t>
      </w:r>
      <w:r w:rsidR="00365472" w:rsidRPr="0034426D">
        <w:rPr>
          <w:sz w:val="24"/>
          <w:szCs w:val="24"/>
          <w:lang w:val="en-US"/>
        </w:rPr>
        <w:t>]</w:t>
      </w:r>
      <w:r w:rsidRPr="0034426D">
        <w:rPr>
          <w:sz w:val="24"/>
          <w:szCs w:val="24"/>
          <w:lang w:val="en-US"/>
        </w:rPr>
        <w:t>. Recently, enzyme replacement therapy by repeated administrations of erythrocyte</w:t>
      </w:r>
      <w:r w:rsidR="009A4E4B" w:rsidRPr="0034426D">
        <w:rPr>
          <w:sz w:val="24"/>
          <w:szCs w:val="24"/>
          <w:lang w:val="en-US"/>
        </w:rPr>
        <w:t>-</w:t>
      </w:r>
      <w:r w:rsidRPr="0034426D">
        <w:rPr>
          <w:sz w:val="24"/>
          <w:szCs w:val="24"/>
          <w:lang w:val="en-US"/>
        </w:rPr>
        <w:t>encapsulated recombinant TP successfully reduced plasma nucleoside levels</w:t>
      </w:r>
      <w:r w:rsidR="009A4E4B" w:rsidRPr="0034426D">
        <w:rPr>
          <w:sz w:val="24"/>
          <w:szCs w:val="24"/>
          <w:lang w:val="en-US"/>
        </w:rPr>
        <w:t>,</w:t>
      </w:r>
      <w:r w:rsidRPr="0034426D">
        <w:rPr>
          <w:sz w:val="24"/>
          <w:szCs w:val="24"/>
          <w:lang w:val="en-US"/>
        </w:rPr>
        <w:t xml:space="preserve"> resulting in marked daily decrease of urinary thymidine and deoxyuridine excretion with consequent significant clinical improvements </w:t>
      </w:r>
      <w:r w:rsidR="00365472" w:rsidRPr="0034426D">
        <w:rPr>
          <w:sz w:val="24"/>
          <w:szCs w:val="24"/>
          <w:lang w:val="en-US"/>
        </w:rPr>
        <w:t>[5</w:t>
      </w:r>
      <w:r w:rsidR="00C87E40">
        <w:rPr>
          <w:sz w:val="24"/>
          <w:szCs w:val="24"/>
          <w:lang w:val="en-US"/>
        </w:rPr>
        <w:t>7</w:t>
      </w:r>
      <w:r w:rsidR="00365472" w:rsidRPr="0034426D">
        <w:rPr>
          <w:sz w:val="24"/>
          <w:szCs w:val="24"/>
          <w:lang w:val="en-US"/>
        </w:rPr>
        <w:t>]</w:t>
      </w:r>
      <w:r w:rsidR="004873D8" w:rsidRPr="0034426D">
        <w:rPr>
          <w:sz w:val="24"/>
          <w:szCs w:val="24"/>
          <w:lang w:val="en-US"/>
        </w:rPr>
        <w:t>.</w:t>
      </w:r>
      <w:r w:rsidR="00E74CE9" w:rsidRPr="0034426D">
        <w:rPr>
          <w:sz w:val="24"/>
          <w:szCs w:val="24"/>
          <w:lang w:val="en-US"/>
        </w:rPr>
        <w:t xml:space="preserve"> Although available</w:t>
      </w:r>
      <w:r w:rsidR="009A4E4B" w:rsidRPr="0034426D">
        <w:rPr>
          <w:sz w:val="24"/>
          <w:szCs w:val="24"/>
          <w:lang w:val="en-US"/>
        </w:rPr>
        <w:t>,</w:t>
      </w:r>
      <w:r w:rsidR="00E74CE9" w:rsidRPr="0034426D">
        <w:rPr>
          <w:sz w:val="24"/>
          <w:szCs w:val="24"/>
          <w:lang w:val="en-US"/>
        </w:rPr>
        <w:t xml:space="preserve"> stem cell transplantation was found of limited benefit and </w:t>
      </w:r>
      <w:r w:rsidR="009A4E4B" w:rsidRPr="0034426D">
        <w:rPr>
          <w:sz w:val="24"/>
          <w:szCs w:val="24"/>
          <w:lang w:val="en-US"/>
        </w:rPr>
        <w:t xml:space="preserve">suitable </w:t>
      </w:r>
      <w:r w:rsidR="00E74CE9" w:rsidRPr="0034426D">
        <w:rPr>
          <w:sz w:val="24"/>
          <w:szCs w:val="24"/>
          <w:lang w:val="en-US"/>
        </w:rPr>
        <w:t xml:space="preserve">only </w:t>
      </w:r>
      <w:r w:rsidR="009A4E4B" w:rsidRPr="0034426D">
        <w:rPr>
          <w:sz w:val="24"/>
          <w:szCs w:val="24"/>
          <w:lang w:val="en-US"/>
        </w:rPr>
        <w:t xml:space="preserve">for </w:t>
      </w:r>
      <w:r w:rsidR="00E74CE9" w:rsidRPr="0034426D">
        <w:rPr>
          <w:sz w:val="24"/>
          <w:szCs w:val="24"/>
          <w:lang w:val="en-US"/>
        </w:rPr>
        <w:t xml:space="preserve">selected patients </w:t>
      </w:r>
      <w:r w:rsidR="00D35C31" w:rsidRPr="0034426D">
        <w:rPr>
          <w:sz w:val="24"/>
          <w:szCs w:val="24"/>
          <w:lang w:val="en-US"/>
        </w:rPr>
        <w:t>[</w:t>
      </w:r>
      <w:r w:rsidR="006B64EE">
        <w:rPr>
          <w:sz w:val="24"/>
          <w:szCs w:val="24"/>
          <w:lang w:val="en-US"/>
        </w:rPr>
        <w:t>5</w:t>
      </w:r>
      <w:r w:rsidR="00C87E40">
        <w:rPr>
          <w:sz w:val="24"/>
          <w:szCs w:val="24"/>
          <w:lang w:val="en-US"/>
        </w:rPr>
        <w:t>8</w:t>
      </w:r>
      <w:r w:rsidR="00D35C31" w:rsidRPr="0034426D">
        <w:rPr>
          <w:sz w:val="24"/>
          <w:szCs w:val="24"/>
          <w:lang w:val="en-US"/>
        </w:rPr>
        <w:t>].</w:t>
      </w:r>
    </w:p>
    <w:p w14:paraId="20073642" w14:textId="77777777" w:rsidR="00275BC5" w:rsidRPr="0034426D" w:rsidRDefault="00275BC5" w:rsidP="00341D07">
      <w:pPr>
        <w:autoSpaceDE w:val="0"/>
        <w:autoSpaceDN w:val="0"/>
        <w:adjustRightInd w:val="0"/>
        <w:spacing w:after="0" w:line="360" w:lineRule="auto"/>
        <w:jc w:val="both"/>
        <w:rPr>
          <w:rStyle w:val="apple-converted-space"/>
          <w:rFonts w:cs="Arial"/>
          <w:color w:val="000000"/>
          <w:sz w:val="24"/>
          <w:szCs w:val="24"/>
          <w:shd w:val="clear" w:color="auto" w:fill="FFFFFF"/>
          <w:lang w:val="en-US"/>
        </w:rPr>
      </w:pPr>
      <w:r w:rsidRPr="0034426D">
        <w:rPr>
          <w:sz w:val="24"/>
          <w:szCs w:val="24"/>
          <w:lang w:val="en-US"/>
        </w:rPr>
        <w:t xml:space="preserve">Another </w:t>
      </w:r>
      <w:r w:rsidRPr="0034426D">
        <w:rPr>
          <w:rFonts w:cs="Arial"/>
          <w:bCs/>
          <w:sz w:val="24"/>
          <w:szCs w:val="24"/>
          <w:shd w:val="clear" w:color="auto" w:fill="FFFFFF"/>
          <w:lang w:val="en-US"/>
        </w:rPr>
        <w:t>inherited metabolic disease that can take advantage from ERT</w:t>
      </w:r>
      <w:r w:rsidRPr="0034426D">
        <w:rPr>
          <w:sz w:val="24"/>
          <w:szCs w:val="24"/>
          <w:lang w:val="en-US"/>
        </w:rPr>
        <w:t xml:space="preserve"> is phenylketonuria (PKU), </w:t>
      </w:r>
      <w:r w:rsidRPr="0034426D">
        <w:rPr>
          <w:rFonts w:cs="Arial"/>
          <w:color w:val="000000"/>
          <w:sz w:val="24"/>
          <w:szCs w:val="24"/>
          <w:shd w:val="clear" w:color="auto" w:fill="FFFFFF"/>
          <w:lang w:val="en-US"/>
        </w:rPr>
        <w:t>characterized by an absence or deficiency of the hepatic enzyme phenylalanine hydroxylase (PAH)</w:t>
      </w:r>
      <w:r w:rsidR="00B13B99" w:rsidRPr="0034426D">
        <w:rPr>
          <w:rFonts w:cs="Arial"/>
          <w:color w:val="000000"/>
          <w:sz w:val="24"/>
          <w:szCs w:val="24"/>
          <w:shd w:val="clear" w:color="auto" w:fill="FFFFFF"/>
          <w:lang w:val="en-US"/>
        </w:rPr>
        <w:t xml:space="preserve">, which is </w:t>
      </w:r>
      <w:r w:rsidRPr="0034426D">
        <w:rPr>
          <w:rFonts w:cs="Arial"/>
          <w:color w:val="000000"/>
          <w:sz w:val="24"/>
          <w:szCs w:val="24"/>
          <w:shd w:val="clear" w:color="auto" w:fill="FFFFFF"/>
          <w:lang w:val="en-US"/>
        </w:rPr>
        <w:t xml:space="preserve">responsible </w:t>
      </w:r>
      <w:r w:rsidR="009A4E4B" w:rsidRPr="0034426D">
        <w:rPr>
          <w:rFonts w:cs="Arial"/>
          <w:color w:val="000000"/>
          <w:sz w:val="24"/>
          <w:szCs w:val="24"/>
          <w:shd w:val="clear" w:color="auto" w:fill="FFFFFF"/>
          <w:lang w:val="en-US"/>
        </w:rPr>
        <w:t xml:space="preserve">for the </w:t>
      </w:r>
      <w:r w:rsidRPr="0034426D">
        <w:rPr>
          <w:rFonts w:cs="Arial"/>
          <w:color w:val="000000"/>
          <w:sz w:val="24"/>
          <w:szCs w:val="24"/>
          <w:shd w:val="clear" w:color="auto" w:fill="FFFFFF"/>
          <w:lang w:val="en-US"/>
        </w:rPr>
        <w:t xml:space="preserve">increase </w:t>
      </w:r>
      <w:r w:rsidR="009A4E4B" w:rsidRPr="0034426D">
        <w:rPr>
          <w:rFonts w:cs="Arial"/>
          <w:color w:val="000000"/>
          <w:sz w:val="24"/>
          <w:szCs w:val="24"/>
          <w:shd w:val="clear" w:color="auto" w:fill="FFFFFF"/>
          <w:lang w:val="en-US"/>
        </w:rPr>
        <w:t xml:space="preserve">in </w:t>
      </w:r>
      <w:r w:rsidRPr="0034426D">
        <w:rPr>
          <w:rFonts w:cs="Arial"/>
          <w:color w:val="000000"/>
          <w:sz w:val="24"/>
          <w:szCs w:val="24"/>
          <w:shd w:val="clear" w:color="auto" w:fill="FFFFFF"/>
          <w:lang w:val="en-US"/>
        </w:rPr>
        <w:t>blood phenylalanine (L-Phe) concentration</w:t>
      </w:r>
      <w:r w:rsidR="00C91F52">
        <w:rPr>
          <w:rFonts w:cs="Arial"/>
          <w:color w:val="000000"/>
          <w:sz w:val="24"/>
          <w:szCs w:val="24"/>
          <w:shd w:val="clear" w:color="auto" w:fill="FFFFFF"/>
          <w:lang w:val="en-US"/>
        </w:rPr>
        <w:t xml:space="preserve"> </w:t>
      </w:r>
      <w:r w:rsidR="009A4E4B" w:rsidRPr="0034426D">
        <w:rPr>
          <w:rFonts w:cs="Arial"/>
          <w:color w:val="000000"/>
          <w:sz w:val="24"/>
          <w:szCs w:val="24"/>
          <w:shd w:val="clear" w:color="auto" w:fill="FFFFFF"/>
          <w:lang w:val="en-US"/>
        </w:rPr>
        <w:t xml:space="preserve">to </w:t>
      </w:r>
      <w:r w:rsidRPr="0034426D">
        <w:rPr>
          <w:rFonts w:cs="Arial"/>
          <w:color w:val="000000"/>
          <w:sz w:val="24"/>
          <w:szCs w:val="24"/>
          <w:shd w:val="clear" w:color="auto" w:fill="FFFFFF"/>
          <w:lang w:val="en-US"/>
        </w:rPr>
        <w:t>neurotoxic levels</w:t>
      </w:r>
      <w:r w:rsidR="009A4E4B" w:rsidRPr="0034426D">
        <w:rPr>
          <w:rFonts w:cs="Arial"/>
          <w:color w:val="000000"/>
          <w:sz w:val="24"/>
          <w:szCs w:val="24"/>
          <w:shd w:val="clear" w:color="auto" w:fill="FFFFFF"/>
          <w:lang w:val="en-US"/>
        </w:rPr>
        <w:t>, thus</w:t>
      </w:r>
      <w:r w:rsidRPr="0034426D">
        <w:rPr>
          <w:rFonts w:cs="Arial"/>
          <w:color w:val="000000"/>
          <w:sz w:val="24"/>
          <w:szCs w:val="24"/>
          <w:shd w:val="clear" w:color="auto" w:fill="FFFFFF"/>
          <w:lang w:val="en-US"/>
        </w:rPr>
        <w:t xml:space="preserve"> impairing cognitive development. The aim of treatment is to lower plasma phenylalanine levels to the recommended therapeutic range to prevent developmental delay and support normal growth. </w:t>
      </w:r>
      <w:r w:rsidRPr="0034426D">
        <w:rPr>
          <w:rStyle w:val="apple-converted-space"/>
          <w:rFonts w:cs="Arial"/>
          <w:color w:val="000000"/>
          <w:sz w:val="24"/>
          <w:szCs w:val="24"/>
          <w:shd w:val="clear" w:color="auto" w:fill="FFFFFF"/>
          <w:lang w:val="en-US"/>
        </w:rPr>
        <w:t xml:space="preserve">The non-mammalian enzyme </w:t>
      </w:r>
      <w:r w:rsidRPr="0034426D">
        <w:rPr>
          <w:sz w:val="24"/>
          <w:szCs w:val="24"/>
          <w:lang w:val="en-US"/>
        </w:rPr>
        <w:t xml:space="preserve">phenylalanine ammonia lyase (PAL), </w:t>
      </w:r>
      <w:r w:rsidRPr="0034426D">
        <w:rPr>
          <w:rStyle w:val="apple-converted-space"/>
          <w:rFonts w:cs="Arial"/>
          <w:color w:val="000000"/>
          <w:sz w:val="24"/>
          <w:szCs w:val="24"/>
          <w:shd w:val="clear" w:color="auto" w:fill="FFFFFF"/>
          <w:lang w:val="en-US"/>
        </w:rPr>
        <w:t xml:space="preserve">that converts phenylalanine to ammonia and trans-cinnamic acid, is </w:t>
      </w:r>
      <w:r w:rsidRPr="0034426D">
        <w:rPr>
          <w:sz w:val="24"/>
          <w:szCs w:val="24"/>
          <w:lang w:val="en-US"/>
        </w:rPr>
        <w:t xml:space="preserve">a potential substitute for the native PAH protein. </w:t>
      </w:r>
      <w:r w:rsidRPr="0034426D">
        <w:rPr>
          <w:rFonts w:cs="Arial"/>
          <w:color w:val="000000"/>
          <w:sz w:val="24"/>
          <w:szCs w:val="24"/>
          <w:shd w:val="clear" w:color="auto" w:fill="FFFFFF"/>
          <w:lang w:val="en-US"/>
        </w:rPr>
        <w:t>I</w:t>
      </w:r>
      <w:r w:rsidR="00714291" w:rsidRPr="0034426D">
        <w:rPr>
          <w:rFonts w:cs="Arial"/>
          <w:color w:val="000000"/>
          <w:sz w:val="24"/>
          <w:szCs w:val="24"/>
          <w:shd w:val="clear" w:color="auto" w:fill="FFFFFF"/>
          <w:lang w:val="en-US"/>
        </w:rPr>
        <w:t>n i</w:t>
      </w:r>
      <w:r w:rsidRPr="0034426D">
        <w:rPr>
          <w:rFonts w:cs="Arial"/>
          <w:color w:val="000000"/>
          <w:sz w:val="24"/>
          <w:szCs w:val="24"/>
          <w:shd w:val="clear" w:color="auto" w:fill="FFFFFF"/>
          <w:lang w:val="en-US"/>
        </w:rPr>
        <w:t xml:space="preserve">nitial preclinical trials in rodent models of PKU, </w:t>
      </w:r>
      <w:r w:rsidRPr="0034426D">
        <w:rPr>
          <w:rStyle w:val="apple-converted-space"/>
          <w:rFonts w:cs="Arial"/>
          <w:color w:val="000000"/>
          <w:sz w:val="24"/>
          <w:szCs w:val="24"/>
          <w:shd w:val="clear" w:color="auto" w:fill="FFFFFF"/>
          <w:lang w:val="en-US"/>
        </w:rPr>
        <w:t xml:space="preserve">the </w:t>
      </w:r>
      <w:r w:rsidRPr="0034426D">
        <w:rPr>
          <w:rFonts w:cs="Arial"/>
          <w:color w:val="000000"/>
          <w:sz w:val="24"/>
          <w:szCs w:val="24"/>
          <w:shd w:val="clear" w:color="auto" w:fill="FFFFFF"/>
          <w:lang w:val="en-US"/>
        </w:rPr>
        <w:t xml:space="preserve">free form of </w:t>
      </w:r>
      <w:r w:rsidRPr="0034426D">
        <w:rPr>
          <w:rStyle w:val="apple-converted-space"/>
          <w:rFonts w:cs="Arial"/>
          <w:color w:val="000000"/>
          <w:sz w:val="24"/>
          <w:szCs w:val="24"/>
          <w:shd w:val="clear" w:color="auto" w:fill="FFFFFF"/>
          <w:lang w:val="en-US"/>
        </w:rPr>
        <w:t xml:space="preserve">recombinant </w:t>
      </w:r>
      <w:r w:rsidRPr="0034426D">
        <w:rPr>
          <w:sz w:val="24"/>
          <w:szCs w:val="24"/>
          <w:lang w:val="en-US"/>
        </w:rPr>
        <w:t xml:space="preserve">PAL </w:t>
      </w:r>
      <w:r w:rsidRPr="0034426D">
        <w:rPr>
          <w:rFonts w:cs="Arial"/>
          <w:color w:val="000000"/>
          <w:sz w:val="24"/>
          <w:szCs w:val="24"/>
          <w:shd w:val="clear" w:color="auto" w:fill="FFFFFF"/>
          <w:lang w:val="en-US"/>
        </w:rPr>
        <w:t>ha</w:t>
      </w:r>
      <w:r w:rsidR="00714291" w:rsidRPr="0034426D">
        <w:rPr>
          <w:rFonts w:cs="Arial"/>
          <w:color w:val="000000"/>
          <w:sz w:val="24"/>
          <w:szCs w:val="24"/>
          <w:shd w:val="clear" w:color="auto" w:fill="FFFFFF"/>
          <w:lang w:val="en-US"/>
        </w:rPr>
        <w:t>s</w:t>
      </w:r>
      <w:r w:rsidRPr="0034426D">
        <w:rPr>
          <w:rFonts w:cs="Arial"/>
          <w:color w:val="000000"/>
          <w:sz w:val="24"/>
          <w:szCs w:val="24"/>
          <w:shd w:val="clear" w:color="auto" w:fill="FFFFFF"/>
          <w:lang w:val="en-US"/>
        </w:rPr>
        <w:t xml:space="preserve"> been </w:t>
      </w:r>
      <w:r w:rsidR="00714291" w:rsidRPr="0034426D">
        <w:rPr>
          <w:rFonts w:cs="Arial"/>
          <w:color w:val="000000"/>
          <w:sz w:val="24"/>
          <w:szCs w:val="24"/>
          <w:shd w:val="clear" w:color="auto" w:fill="FFFFFF"/>
          <w:lang w:val="en-US"/>
        </w:rPr>
        <w:t>test</w:t>
      </w:r>
      <w:r w:rsidRPr="0034426D">
        <w:rPr>
          <w:rFonts w:cs="Arial"/>
          <w:color w:val="000000"/>
          <w:sz w:val="24"/>
          <w:szCs w:val="24"/>
          <w:shd w:val="clear" w:color="auto" w:fill="FFFFFF"/>
          <w:lang w:val="en-US"/>
        </w:rPr>
        <w:t xml:space="preserve">ed by </w:t>
      </w:r>
      <w:r w:rsidRPr="0034426D">
        <w:rPr>
          <w:rStyle w:val="apple-converted-space"/>
          <w:rFonts w:cs="Arial"/>
          <w:color w:val="000000"/>
          <w:sz w:val="24"/>
          <w:szCs w:val="24"/>
          <w:shd w:val="clear" w:color="auto" w:fill="FFFFFF"/>
          <w:lang w:val="en-US"/>
        </w:rPr>
        <w:t>both o</w:t>
      </w:r>
      <w:r w:rsidRPr="0034426D">
        <w:rPr>
          <w:rFonts w:cs="Arial"/>
          <w:color w:val="000000"/>
          <w:sz w:val="24"/>
          <w:szCs w:val="24"/>
          <w:shd w:val="clear" w:color="auto" w:fill="FFFFFF"/>
          <w:lang w:val="en-US"/>
        </w:rPr>
        <w:t xml:space="preserve">ral </w:t>
      </w:r>
      <w:r w:rsidR="00365472" w:rsidRPr="0034426D">
        <w:rPr>
          <w:rFonts w:cs="Arial"/>
          <w:color w:val="000000"/>
          <w:sz w:val="24"/>
          <w:szCs w:val="24"/>
          <w:shd w:val="clear" w:color="auto" w:fill="FFFFFF"/>
          <w:lang w:val="en-US"/>
        </w:rPr>
        <w:t>[</w:t>
      </w:r>
      <w:r w:rsidR="00C87E40">
        <w:rPr>
          <w:rFonts w:cs="Arial"/>
          <w:color w:val="000000"/>
          <w:sz w:val="24"/>
          <w:szCs w:val="24"/>
          <w:shd w:val="clear" w:color="auto" w:fill="FFFFFF"/>
          <w:lang w:val="en-US"/>
        </w:rPr>
        <w:t>59</w:t>
      </w:r>
      <w:r w:rsidR="006B64EE">
        <w:rPr>
          <w:rFonts w:cs="Arial"/>
          <w:color w:val="000000"/>
          <w:sz w:val="24"/>
          <w:szCs w:val="24"/>
          <w:shd w:val="clear" w:color="auto" w:fill="FFFFFF"/>
          <w:lang w:val="en-US"/>
        </w:rPr>
        <w:t>-6</w:t>
      </w:r>
      <w:r w:rsidR="00C87E40">
        <w:rPr>
          <w:rFonts w:cs="Arial"/>
          <w:color w:val="000000"/>
          <w:sz w:val="24"/>
          <w:szCs w:val="24"/>
          <w:shd w:val="clear" w:color="auto" w:fill="FFFFFF"/>
          <w:lang w:val="en-US"/>
        </w:rPr>
        <w:t>1</w:t>
      </w:r>
      <w:r w:rsidR="00365472" w:rsidRPr="0034426D">
        <w:rPr>
          <w:rFonts w:cs="Arial"/>
          <w:color w:val="000000"/>
          <w:sz w:val="24"/>
          <w:szCs w:val="24"/>
          <w:shd w:val="clear" w:color="auto" w:fill="FFFFFF"/>
          <w:lang w:val="en-US"/>
        </w:rPr>
        <w:t xml:space="preserve">] </w:t>
      </w:r>
      <w:r w:rsidRPr="0034426D">
        <w:rPr>
          <w:rFonts w:cs="Arial"/>
          <w:color w:val="000000"/>
          <w:sz w:val="24"/>
          <w:szCs w:val="24"/>
          <w:shd w:val="clear" w:color="auto" w:fill="FFFFFF"/>
          <w:lang w:val="en-US"/>
        </w:rPr>
        <w:t xml:space="preserve">or subcutaneous administration </w:t>
      </w:r>
      <w:r w:rsidR="00365472" w:rsidRPr="0034426D">
        <w:rPr>
          <w:rFonts w:cs="Arial"/>
          <w:color w:val="000000"/>
          <w:sz w:val="24"/>
          <w:szCs w:val="24"/>
          <w:shd w:val="clear" w:color="auto" w:fill="FFFFFF"/>
          <w:lang w:val="en-US"/>
        </w:rPr>
        <w:t>[</w:t>
      </w:r>
      <w:r w:rsidR="00F3782D">
        <w:rPr>
          <w:rFonts w:cs="Arial"/>
          <w:color w:val="000000"/>
          <w:sz w:val="24"/>
          <w:szCs w:val="24"/>
          <w:shd w:val="clear" w:color="auto" w:fill="FFFFFF"/>
          <w:lang w:val="en-US"/>
        </w:rPr>
        <w:t>59</w:t>
      </w:r>
      <w:r w:rsidR="006B64EE">
        <w:rPr>
          <w:rFonts w:cs="Arial"/>
          <w:color w:val="000000"/>
          <w:sz w:val="24"/>
          <w:szCs w:val="24"/>
          <w:shd w:val="clear" w:color="auto" w:fill="FFFFFF"/>
          <w:lang w:val="en-US"/>
        </w:rPr>
        <w:t>,6</w:t>
      </w:r>
      <w:r w:rsidR="00F3782D">
        <w:rPr>
          <w:rFonts w:cs="Arial"/>
          <w:color w:val="000000"/>
          <w:sz w:val="24"/>
          <w:szCs w:val="24"/>
          <w:shd w:val="clear" w:color="auto" w:fill="FFFFFF"/>
          <w:lang w:val="en-US"/>
        </w:rPr>
        <w:t>2</w:t>
      </w:r>
      <w:r w:rsidR="00365472" w:rsidRPr="0034426D">
        <w:rPr>
          <w:rFonts w:cs="Arial"/>
          <w:color w:val="000000"/>
          <w:sz w:val="24"/>
          <w:szCs w:val="24"/>
          <w:shd w:val="clear" w:color="auto" w:fill="FFFFFF"/>
          <w:lang w:val="en-US"/>
        </w:rPr>
        <w:t xml:space="preserve">] </w:t>
      </w:r>
      <w:r w:rsidRPr="0034426D">
        <w:rPr>
          <w:rFonts w:cs="Arial"/>
          <w:color w:val="000000"/>
          <w:sz w:val="24"/>
          <w:szCs w:val="24"/>
          <w:shd w:val="clear" w:color="auto" w:fill="FFFFFF"/>
          <w:lang w:val="en-US"/>
        </w:rPr>
        <w:t>yielding a decrease</w:t>
      </w:r>
      <w:r w:rsidRPr="0034426D">
        <w:rPr>
          <w:rStyle w:val="apple-converted-space"/>
          <w:rFonts w:cs="Arial"/>
          <w:color w:val="000000"/>
          <w:sz w:val="24"/>
          <w:szCs w:val="24"/>
          <w:shd w:val="clear" w:color="auto" w:fill="FFFFFF"/>
          <w:lang w:val="en-US"/>
        </w:rPr>
        <w:t xml:space="preserve"> in </w:t>
      </w:r>
      <w:r w:rsidR="00D22464" w:rsidRPr="0034426D">
        <w:rPr>
          <w:rStyle w:val="apple-converted-space"/>
          <w:rFonts w:cs="Arial"/>
          <w:color w:val="000000"/>
          <w:sz w:val="24"/>
          <w:szCs w:val="24"/>
          <w:shd w:val="clear" w:color="auto" w:fill="FFFFFF"/>
          <w:lang w:val="en-US"/>
        </w:rPr>
        <w:t>L-</w:t>
      </w:r>
      <w:r w:rsidRPr="0034426D">
        <w:rPr>
          <w:rStyle w:val="apple-converted-space"/>
          <w:rFonts w:cs="Arial"/>
          <w:color w:val="000000"/>
          <w:sz w:val="24"/>
          <w:szCs w:val="24"/>
          <w:shd w:val="clear" w:color="auto" w:fill="FFFFFF"/>
          <w:lang w:val="en-US"/>
        </w:rPr>
        <w:t xml:space="preserve">Phe levels for a short period of time. </w:t>
      </w:r>
      <w:r w:rsidRPr="0034426D">
        <w:rPr>
          <w:sz w:val="24"/>
          <w:szCs w:val="24"/>
          <w:lang w:val="en-US"/>
        </w:rPr>
        <w:t>However</w:t>
      </w:r>
      <w:r w:rsidR="009A4E4B" w:rsidRPr="0034426D">
        <w:rPr>
          <w:sz w:val="24"/>
          <w:szCs w:val="24"/>
          <w:lang w:val="en-US"/>
        </w:rPr>
        <w:t>,</w:t>
      </w:r>
      <w:r w:rsidRPr="0034426D">
        <w:rPr>
          <w:sz w:val="24"/>
          <w:szCs w:val="24"/>
          <w:lang w:val="en-US"/>
        </w:rPr>
        <w:t xml:space="preserve"> this is not a viable long-term option</w:t>
      </w:r>
      <w:r w:rsidRPr="0034426D">
        <w:rPr>
          <w:rStyle w:val="apple-converted-space"/>
          <w:rFonts w:cs="Arial"/>
          <w:color w:val="000000"/>
          <w:sz w:val="24"/>
          <w:szCs w:val="24"/>
          <w:shd w:val="clear" w:color="auto" w:fill="FFFFFF"/>
          <w:lang w:val="en-US"/>
        </w:rPr>
        <w:t xml:space="preserve"> because the reduction is hampered by clearance of the enzyme through proteolysis and activation of immune response </w:t>
      </w:r>
      <w:r w:rsidR="00365472" w:rsidRPr="0034426D">
        <w:rPr>
          <w:rStyle w:val="apple-converted-space"/>
          <w:rFonts w:cs="Arial"/>
          <w:color w:val="000000"/>
          <w:sz w:val="24"/>
          <w:szCs w:val="24"/>
          <w:shd w:val="clear" w:color="auto" w:fill="FFFFFF"/>
          <w:lang w:val="en-US"/>
        </w:rPr>
        <w:t>[</w:t>
      </w:r>
      <w:r w:rsidR="006B64EE">
        <w:rPr>
          <w:rStyle w:val="apple-converted-space"/>
          <w:rFonts w:cs="Arial"/>
          <w:color w:val="000000"/>
          <w:sz w:val="24"/>
          <w:szCs w:val="24"/>
          <w:shd w:val="clear" w:color="auto" w:fill="FFFFFF"/>
          <w:lang w:val="en-US"/>
        </w:rPr>
        <w:t>6</w:t>
      </w:r>
      <w:r w:rsidR="00F3782D">
        <w:rPr>
          <w:rStyle w:val="apple-converted-space"/>
          <w:rFonts w:cs="Arial"/>
          <w:color w:val="000000"/>
          <w:sz w:val="24"/>
          <w:szCs w:val="24"/>
          <w:shd w:val="clear" w:color="auto" w:fill="FFFFFF"/>
          <w:lang w:val="en-US"/>
        </w:rPr>
        <w:t>3</w:t>
      </w:r>
      <w:r w:rsidR="00365472" w:rsidRPr="0034426D">
        <w:rPr>
          <w:rStyle w:val="apple-converted-space"/>
          <w:rFonts w:cs="Arial"/>
          <w:color w:val="000000"/>
          <w:sz w:val="24"/>
          <w:szCs w:val="24"/>
          <w:shd w:val="clear" w:color="auto" w:fill="FFFFFF"/>
          <w:lang w:val="en-US"/>
        </w:rPr>
        <w:t>]</w:t>
      </w:r>
      <w:r w:rsidRPr="0034426D">
        <w:rPr>
          <w:rStyle w:val="apple-converted-space"/>
          <w:rFonts w:cs="Arial"/>
          <w:sz w:val="24"/>
          <w:szCs w:val="24"/>
          <w:shd w:val="clear" w:color="auto" w:fill="FFFFFF"/>
          <w:lang w:val="en-US"/>
        </w:rPr>
        <w:t>. To optimize the ability of this therapeutic protein, modifi</w:t>
      </w:r>
      <w:r w:rsidR="009A4E4B" w:rsidRPr="0034426D">
        <w:rPr>
          <w:rStyle w:val="apple-converted-space"/>
          <w:rFonts w:cs="Arial"/>
          <w:sz w:val="24"/>
          <w:szCs w:val="24"/>
          <w:shd w:val="clear" w:color="auto" w:fill="FFFFFF"/>
          <w:lang w:val="en-US"/>
        </w:rPr>
        <w:t>ed</w:t>
      </w:r>
      <w:r w:rsidRPr="0034426D">
        <w:rPr>
          <w:rStyle w:val="apple-converted-space"/>
          <w:rFonts w:cs="Arial"/>
          <w:sz w:val="24"/>
          <w:szCs w:val="24"/>
          <w:shd w:val="clear" w:color="auto" w:fill="FFFFFF"/>
          <w:lang w:val="en-US"/>
        </w:rPr>
        <w:t xml:space="preserve"> forms of PAL have been developed by PEGylation processes. Sarkissian et al. </w:t>
      </w:r>
      <w:r w:rsidR="00365472" w:rsidRPr="0034426D">
        <w:rPr>
          <w:rStyle w:val="apple-converted-space"/>
          <w:rFonts w:cs="Arial"/>
          <w:sz w:val="24"/>
          <w:szCs w:val="24"/>
          <w:shd w:val="clear" w:color="auto" w:fill="FFFFFF"/>
          <w:lang w:val="en-US"/>
        </w:rPr>
        <w:t>[</w:t>
      </w:r>
      <w:r w:rsidR="006B64EE">
        <w:rPr>
          <w:rStyle w:val="apple-converted-space"/>
          <w:rFonts w:cs="Arial"/>
          <w:sz w:val="24"/>
          <w:szCs w:val="24"/>
          <w:shd w:val="clear" w:color="auto" w:fill="FFFFFF"/>
          <w:lang w:val="en-US"/>
        </w:rPr>
        <w:t>6</w:t>
      </w:r>
      <w:r w:rsidR="00F3782D">
        <w:rPr>
          <w:rStyle w:val="apple-converted-space"/>
          <w:rFonts w:cs="Arial"/>
          <w:sz w:val="24"/>
          <w:szCs w:val="24"/>
          <w:shd w:val="clear" w:color="auto" w:fill="FFFFFF"/>
          <w:lang w:val="en-US"/>
        </w:rPr>
        <w:t>3</w:t>
      </w:r>
      <w:r w:rsidR="006B64EE">
        <w:rPr>
          <w:rStyle w:val="apple-converted-space"/>
          <w:rFonts w:cs="Arial"/>
          <w:sz w:val="24"/>
          <w:szCs w:val="24"/>
          <w:shd w:val="clear" w:color="auto" w:fill="FFFFFF"/>
          <w:lang w:val="en-US"/>
        </w:rPr>
        <w:t>,6</w:t>
      </w:r>
      <w:r w:rsidR="00F3782D">
        <w:rPr>
          <w:rStyle w:val="apple-converted-space"/>
          <w:rFonts w:cs="Arial"/>
          <w:sz w:val="24"/>
          <w:szCs w:val="24"/>
          <w:shd w:val="clear" w:color="auto" w:fill="FFFFFF"/>
          <w:lang w:val="en-US"/>
        </w:rPr>
        <w:t>4</w:t>
      </w:r>
      <w:r w:rsidR="00365472" w:rsidRPr="0034426D">
        <w:rPr>
          <w:rStyle w:val="apple-converted-space"/>
          <w:rFonts w:cs="Arial"/>
          <w:sz w:val="24"/>
          <w:szCs w:val="24"/>
          <w:shd w:val="clear" w:color="auto" w:fill="FFFFFF"/>
          <w:lang w:val="en-US"/>
        </w:rPr>
        <w:t xml:space="preserve">] </w:t>
      </w:r>
      <w:r w:rsidRPr="0034426D">
        <w:rPr>
          <w:rStyle w:val="apple-converted-space"/>
          <w:rFonts w:cs="Arial"/>
          <w:sz w:val="24"/>
          <w:szCs w:val="24"/>
          <w:shd w:val="clear" w:color="auto" w:fill="FFFFFF"/>
          <w:lang w:val="en-US"/>
        </w:rPr>
        <w:t xml:space="preserve">illustrated how </w:t>
      </w:r>
      <w:r w:rsidRPr="0034426D">
        <w:rPr>
          <w:rFonts w:cs="AdvP5D8B"/>
          <w:sz w:val="24"/>
          <w:szCs w:val="24"/>
          <w:lang w:val="en-US"/>
        </w:rPr>
        <w:t xml:space="preserve">blood </w:t>
      </w:r>
      <w:r w:rsidRPr="0034426D">
        <w:rPr>
          <w:rFonts w:cs="Arial"/>
          <w:sz w:val="24"/>
          <w:szCs w:val="24"/>
          <w:shd w:val="clear" w:color="auto" w:fill="FFFFFF"/>
          <w:lang w:val="en-US"/>
        </w:rPr>
        <w:t>L-Phe</w:t>
      </w:r>
      <w:r w:rsidRPr="0034426D">
        <w:rPr>
          <w:rFonts w:cs="AdvP5D8B"/>
          <w:sz w:val="24"/>
          <w:szCs w:val="24"/>
          <w:lang w:val="en-US"/>
        </w:rPr>
        <w:t xml:space="preserve"> levels were slightly lowered by oral administration of rPAL</w:t>
      </w:r>
      <w:r w:rsidRPr="0034426D">
        <w:rPr>
          <w:rFonts w:cs="AdvP4C4E59"/>
          <w:sz w:val="24"/>
          <w:szCs w:val="24"/>
          <w:lang w:val="en-US"/>
        </w:rPr>
        <w:t>-</w:t>
      </w:r>
      <w:r w:rsidRPr="0034426D">
        <w:rPr>
          <w:rFonts w:cs="AdvP5D8B"/>
          <w:sz w:val="24"/>
          <w:szCs w:val="24"/>
          <w:lang w:val="en-US"/>
        </w:rPr>
        <w:t>PEG in PAH-deficient mice and, to a larger extent, by weekly subcutaneous administration</w:t>
      </w:r>
      <w:r w:rsidR="009A4E4B" w:rsidRPr="0034426D">
        <w:rPr>
          <w:rFonts w:cs="AdvP5D8B"/>
          <w:sz w:val="24"/>
          <w:szCs w:val="24"/>
          <w:lang w:val="en-US"/>
        </w:rPr>
        <w:t>s</w:t>
      </w:r>
      <w:r w:rsidRPr="0034426D">
        <w:rPr>
          <w:rFonts w:cs="AdvP5D8B"/>
          <w:sz w:val="24"/>
          <w:szCs w:val="24"/>
          <w:lang w:val="en-US"/>
        </w:rPr>
        <w:t xml:space="preserve"> of this PEGylated protein over 3 months. </w:t>
      </w:r>
      <w:r w:rsidRPr="0034426D">
        <w:rPr>
          <w:rStyle w:val="apple-converted-space"/>
          <w:rFonts w:cs="Arial"/>
          <w:sz w:val="24"/>
          <w:szCs w:val="24"/>
          <w:shd w:val="clear" w:color="auto" w:fill="FFFFFF"/>
          <w:lang w:val="en-US"/>
        </w:rPr>
        <w:t xml:space="preserve">Nowadays </w:t>
      </w:r>
      <w:r w:rsidR="00D22464" w:rsidRPr="0034426D">
        <w:rPr>
          <w:rStyle w:val="apple-converted-space"/>
          <w:rFonts w:cs="Arial"/>
          <w:sz w:val="24"/>
          <w:szCs w:val="24"/>
          <w:shd w:val="clear" w:color="auto" w:fill="FFFFFF"/>
          <w:lang w:val="en-US"/>
        </w:rPr>
        <w:t xml:space="preserve">a </w:t>
      </w:r>
      <w:r w:rsidRPr="0034426D">
        <w:rPr>
          <w:rStyle w:val="apple-converted-space"/>
          <w:rFonts w:cs="Arial"/>
          <w:sz w:val="24"/>
          <w:szCs w:val="24"/>
          <w:shd w:val="clear" w:color="auto" w:fill="FFFFFF"/>
          <w:lang w:val="en-US"/>
        </w:rPr>
        <w:t>concluded Phase I stud</w:t>
      </w:r>
      <w:r w:rsidR="00D35C31" w:rsidRPr="0034426D">
        <w:rPr>
          <w:rStyle w:val="apple-converted-space"/>
          <w:rFonts w:cs="Arial"/>
          <w:sz w:val="24"/>
          <w:szCs w:val="24"/>
          <w:shd w:val="clear" w:color="auto" w:fill="FFFFFF"/>
          <w:lang w:val="en-US"/>
        </w:rPr>
        <w:t>y</w:t>
      </w:r>
      <w:r w:rsidRPr="0034426D">
        <w:rPr>
          <w:rStyle w:val="apple-converted-space"/>
          <w:rFonts w:cs="Arial"/>
          <w:sz w:val="24"/>
          <w:szCs w:val="24"/>
          <w:shd w:val="clear" w:color="auto" w:fill="FFFFFF"/>
          <w:lang w:val="en-US"/>
        </w:rPr>
        <w:t xml:space="preserve"> </w:t>
      </w:r>
      <w:r w:rsidR="00D35C31" w:rsidRPr="0034426D">
        <w:rPr>
          <w:sz w:val="24"/>
          <w:szCs w:val="24"/>
          <w:lang w:val="en-US"/>
        </w:rPr>
        <w:t xml:space="preserve">(NCT00925054) </w:t>
      </w:r>
      <w:r w:rsidR="009A4E4B" w:rsidRPr="0034426D">
        <w:rPr>
          <w:rStyle w:val="apple-converted-space"/>
          <w:rFonts w:cs="Arial"/>
          <w:color w:val="000000"/>
          <w:sz w:val="24"/>
          <w:szCs w:val="24"/>
          <w:shd w:val="clear" w:color="auto" w:fill="FFFFFF"/>
          <w:lang w:val="en-US"/>
        </w:rPr>
        <w:t xml:space="preserve">on </w:t>
      </w:r>
      <w:r w:rsidRPr="0034426D">
        <w:rPr>
          <w:rStyle w:val="apple-converted-space"/>
          <w:rFonts w:cs="Arial"/>
          <w:color w:val="000000"/>
          <w:sz w:val="24"/>
          <w:szCs w:val="24"/>
          <w:shd w:val="clear" w:color="auto" w:fill="FFFFFF"/>
          <w:lang w:val="en-US"/>
        </w:rPr>
        <w:t>a single dose of subcutaneously injected rPAL-PEG</w:t>
      </w:r>
      <w:r w:rsidR="00C91F52">
        <w:rPr>
          <w:rStyle w:val="apple-converted-space"/>
          <w:rFonts w:cs="Arial"/>
          <w:color w:val="000000"/>
          <w:sz w:val="24"/>
          <w:szCs w:val="24"/>
          <w:shd w:val="clear" w:color="auto" w:fill="FFFFFF"/>
          <w:lang w:val="en-US"/>
        </w:rPr>
        <w:t xml:space="preserve"> </w:t>
      </w:r>
      <w:r w:rsidR="009A4E4B" w:rsidRPr="0034426D">
        <w:rPr>
          <w:rStyle w:val="apple-converted-space"/>
          <w:rFonts w:cs="Arial"/>
          <w:color w:val="000000"/>
          <w:sz w:val="24"/>
          <w:szCs w:val="24"/>
          <w:shd w:val="clear" w:color="auto" w:fill="FFFFFF"/>
          <w:lang w:val="en-US"/>
        </w:rPr>
        <w:t xml:space="preserve">has </w:t>
      </w:r>
      <w:r w:rsidRPr="0034426D">
        <w:rPr>
          <w:rStyle w:val="apple-converted-space"/>
          <w:rFonts w:cs="Arial"/>
          <w:color w:val="000000"/>
          <w:sz w:val="24"/>
          <w:szCs w:val="24"/>
          <w:shd w:val="clear" w:color="auto" w:fill="FFFFFF"/>
          <w:lang w:val="en-US"/>
        </w:rPr>
        <w:t xml:space="preserve">been successful in prolonging enzyme plasma half-life and in reducing its immunogenicity but not </w:t>
      </w:r>
      <w:r w:rsidR="002F7C87" w:rsidRPr="0034426D">
        <w:rPr>
          <w:rStyle w:val="apple-converted-space"/>
          <w:rFonts w:cs="Arial"/>
          <w:color w:val="000000"/>
          <w:sz w:val="24"/>
          <w:szCs w:val="24"/>
          <w:shd w:val="clear" w:color="auto" w:fill="FFFFFF"/>
          <w:lang w:val="en-US"/>
        </w:rPr>
        <w:t xml:space="preserve">to achieve </w:t>
      </w:r>
      <w:r w:rsidRPr="0034426D">
        <w:rPr>
          <w:rStyle w:val="apple-converted-space"/>
          <w:rFonts w:cs="Arial"/>
          <w:color w:val="000000"/>
          <w:sz w:val="24"/>
          <w:szCs w:val="24"/>
          <w:shd w:val="clear" w:color="auto" w:fill="FFFFFF"/>
          <w:lang w:val="en-US"/>
        </w:rPr>
        <w:t xml:space="preserve">the complete neutralization of the latter (with the </w:t>
      </w:r>
      <w:r w:rsidRPr="0034426D">
        <w:rPr>
          <w:sz w:val="24"/>
          <w:szCs w:val="24"/>
          <w:lang w:val="en-US"/>
        </w:rPr>
        <w:t xml:space="preserve">production of antibodies both against PEG and rPAL, causing some moderate hypersensitivity adverse events, even though the treatment was generally fairly well tolerated) </w:t>
      </w:r>
      <w:r w:rsidR="00365472" w:rsidRPr="0034426D">
        <w:rPr>
          <w:sz w:val="24"/>
          <w:szCs w:val="24"/>
          <w:lang w:val="en-US"/>
        </w:rPr>
        <w:t>[6</w:t>
      </w:r>
      <w:r w:rsidR="00F3782D">
        <w:rPr>
          <w:sz w:val="24"/>
          <w:szCs w:val="24"/>
          <w:lang w:val="en-US"/>
        </w:rPr>
        <w:t>5</w:t>
      </w:r>
      <w:r w:rsidR="00365472" w:rsidRPr="0034426D">
        <w:rPr>
          <w:sz w:val="24"/>
          <w:szCs w:val="24"/>
          <w:lang w:val="en-US"/>
        </w:rPr>
        <w:t>]</w:t>
      </w:r>
      <w:r w:rsidRPr="0034426D">
        <w:rPr>
          <w:rStyle w:val="apple-converted-space"/>
          <w:rFonts w:cs="Arial"/>
          <w:color w:val="000000"/>
          <w:sz w:val="24"/>
          <w:szCs w:val="24"/>
          <w:shd w:val="clear" w:color="auto" w:fill="FFFFFF"/>
          <w:lang w:val="en-US"/>
        </w:rPr>
        <w:t>. Currently in progress Phase II</w:t>
      </w:r>
      <w:r w:rsidRPr="0034426D">
        <w:rPr>
          <w:sz w:val="24"/>
          <w:szCs w:val="24"/>
          <w:lang w:val="en-US"/>
        </w:rPr>
        <w:t xml:space="preserve"> </w:t>
      </w:r>
      <w:r w:rsidRPr="0034426D">
        <w:rPr>
          <w:rStyle w:val="apple-converted-space"/>
          <w:rFonts w:cs="Arial"/>
          <w:color w:val="000000"/>
          <w:sz w:val="24"/>
          <w:szCs w:val="24"/>
          <w:shd w:val="clear" w:color="auto" w:fill="FFFFFF"/>
          <w:lang w:val="en-US"/>
        </w:rPr>
        <w:t>(NCT01212744, NCT00925054, NCT01560286) and</w:t>
      </w:r>
      <w:r w:rsidR="00D22464" w:rsidRPr="0034426D">
        <w:rPr>
          <w:rStyle w:val="apple-converted-space"/>
          <w:rFonts w:cs="Arial"/>
          <w:color w:val="000000"/>
          <w:sz w:val="24"/>
          <w:szCs w:val="24"/>
          <w:shd w:val="clear" w:color="auto" w:fill="FFFFFF"/>
          <w:lang w:val="en-US"/>
        </w:rPr>
        <w:t xml:space="preserve"> </w:t>
      </w:r>
      <w:r w:rsidR="002F7C87" w:rsidRPr="0034426D">
        <w:rPr>
          <w:rStyle w:val="apple-converted-space"/>
          <w:rFonts w:cs="Arial"/>
          <w:color w:val="000000"/>
          <w:sz w:val="24"/>
          <w:szCs w:val="24"/>
          <w:shd w:val="clear" w:color="auto" w:fill="FFFFFF"/>
          <w:lang w:val="en-US"/>
        </w:rPr>
        <w:t xml:space="preserve">Phase </w:t>
      </w:r>
      <w:r w:rsidRPr="0034426D">
        <w:rPr>
          <w:rStyle w:val="apple-converted-space"/>
          <w:rFonts w:cs="Arial"/>
          <w:color w:val="000000"/>
          <w:sz w:val="24"/>
          <w:szCs w:val="24"/>
          <w:shd w:val="clear" w:color="auto" w:fill="FFFFFF"/>
          <w:lang w:val="en-US"/>
        </w:rPr>
        <w:t>III</w:t>
      </w:r>
      <w:r w:rsidRPr="0034426D">
        <w:rPr>
          <w:sz w:val="24"/>
          <w:szCs w:val="24"/>
          <w:lang w:val="en-US"/>
        </w:rPr>
        <w:t xml:space="preserve"> </w:t>
      </w:r>
      <w:r w:rsidRPr="0034426D">
        <w:rPr>
          <w:rStyle w:val="apple-converted-space"/>
          <w:rFonts w:cs="Arial"/>
          <w:color w:val="000000"/>
          <w:sz w:val="24"/>
          <w:szCs w:val="24"/>
          <w:shd w:val="clear" w:color="auto" w:fill="FFFFFF"/>
          <w:lang w:val="en-US"/>
        </w:rPr>
        <w:t>(NCT01889862 and NCT01819727</w:t>
      </w:r>
      <w:r w:rsidR="002D0483" w:rsidRPr="0034426D">
        <w:rPr>
          <w:rStyle w:val="apple-converted-space"/>
          <w:rFonts w:cs="Arial"/>
          <w:color w:val="000000"/>
          <w:sz w:val="24"/>
          <w:szCs w:val="24"/>
          <w:shd w:val="clear" w:color="auto" w:fill="FFFFFF"/>
          <w:lang w:val="en-US"/>
        </w:rPr>
        <w:t>)</w:t>
      </w:r>
      <w:r w:rsidR="00C91F52">
        <w:rPr>
          <w:rStyle w:val="apple-converted-space"/>
          <w:rFonts w:cs="Arial"/>
          <w:color w:val="000000"/>
          <w:sz w:val="24"/>
          <w:szCs w:val="24"/>
          <w:shd w:val="clear" w:color="auto" w:fill="FFFFFF"/>
          <w:lang w:val="en-US"/>
        </w:rPr>
        <w:t xml:space="preserve"> </w:t>
      </w:r>
      <w:r w:rsidRPr="0034426D">
        <w:rPr>
          <w:rStyle w:val="apple-converted-space"/>
          <w:rFonts w:cs="Arial"/>
          <w:color w:val="000000"/>
          <w:sz w:val="24"/>
          <w:szCs w:val="24"/>
          <w:shd w:val="clear" w:color="auto" w:fill="FFFFFF"/>
          <w:lang w:val="en-US"/>
        </w:rPr>
        <w:t xml:space="preserve">studies concerning repeated administrations for </w:t>
      </w:r>
      <w:r w:rsidR="002F7C87" w:rsidRPr="0034426D">
        <w:rPr>
          <w:rStyle w:val="apple-converted-space"/>
          <w:rFonts w:cs="Arial"/>
          <w:color w:val="000000"/>
          <w:sz w:val="24"/>
          <w:szCs w:val="24"/>
          <w:shd w:val="clear" w:color="auto" w:fill="FFFFFF"/>
          <w:lang w:val="en-US"/>
        </w:rPr>
        <w:t xml:space="preserve">the </w:t>
      </w:r>
      <w:r w:rsidRPr="0034426D">
        <w:rPr>
          <w:rStyle w:val="apple-converted-space"/>
          <w:rFonts w:cs="Arial"/>
          <w:color w:val="000000"/>
          <w:sz w:val="24"/>
          <w:szCs w:val="24"/>
          <w:shd w:val="clear" w:color="auto" w:fill="FFFFFF"/>
          <w:lang w:val="en-US"/>
        </w:rPr>
        <w:t xml:space="preserve">evaluation of efficacy and safety are confirming </w:t>
      </w:r>
      <w:r w:rsidR="002F7C87" w:rsidRPr="0034426D">
        <w:rPr>
          <w:rStyle w:val="apple-converted-space"/>
          <w:rFonts w:cs="Arial"/>
          <w:color w:val="000000"/>
          <w:sz w:val="24"/>
          <w:szCs w:val="24"/>
          <w:shd w:val="clear" w:color="auto" w:fill="FFFFFF"/>
          <w:lang w:val="en-US"/>
        </w:rPr>
        <w:t xml:space="preserve">what </w:t>
      </w:r>
      <w:r w:rsidRPr="0034426D">
        <w:rPr>
          <w:rStyle w:val="apple-converted-space"/>
          <w:rFonts w:cs="Arial"/>
          <w:color w:val="000000"/>
          <w:sz w:val="24"/>
          <w:szCs w:val="24"/>
          <w:shd w:val="clear" w:color="auto" w:fill="FFFFFF"/>
          <w:lang w:val="en-US"/>
        </w:rPr>
        <w:t xml:space="preserve">previously </w:t>
      </w:r>
      <w:r w:rsidRPr="0034426D">
        <w:rPr>
          <w:rStyle w:val="apple-converted-space"/>
          <w:rFonts w:cs="Arial"/>
          <w:color w:val="000000"/>
          <w:sz w:val="24"/>
          <w:szCs w:val="24"/>
          <w:shd w:val="clear" w:color="auto" w:fill="FFFFFF"/>
          <w:lang w:val="en-US"/>
        </w:rPr>
        <w:lastRenderedPageBreak/>
        <w:t xml:space="preserve">observed including adverse events, like hypersensitivity reactions in injection site and the development of anti-drug and anti-PEG antibodies </w:t>
      </w:r>
      <w:r w:rsidR="00365472" w:rsidRPr="0034426D">
        <w:rPr>
          <w:rStyle w:val="apple-converted-space"/>
          <w:rFonts w:cs="Arial"/>
          <w:color w:val="000000"/>
          <w:sz w:val="24"/>
          <w:szCs w:val="24"/>
          <w:shd w:val="clear" w:color="auto" w:fill="FFFFFF"/>
          <w:lang w:val="en-US"/>
        </w:rPr>
        <w:t>[</w:t>
      </w:r>
      <w:r w:rsidR="006B64EE">
        <w:rPr>
          <w:rStyle w:val="apple-converted-space"/>
          <w:rFonts w:cs="Arial"/>
          <w:color w:val="000000"/>
          <w:sz w:val="24"/>
          <w:szCs w:val="24"/>
          <w:shd w:val="clear" w:color="auto" w:fill="FFFFFF"/>
          <w:lang w:val="en-US"/>
        </w:rPr>
        <w:t>6</w:t>
      </w:r>
      <w:r w:rsidR="00F3782D">
        <w:rPr>
          <w:rStyle w:val="apple-converted-space"/>
          <w:rFonts w:cs="Arial"/>
          <w:color w:val="000000"/>
          <w:sz w:val="24"/>
          <w:szCs w:val="24"/>
          <w:shd w:val="clear" w:color="auto" w:fill="FFFFFF"/>
          <w:lang w:val="en-US"/>
        </w:rPr>
        <w:t>5</w:t>
      </w:r>
      <w:r w:rsidR="00365472" w:rsidRPr="0034426D">
        <w:rPr>
          <w:rStyle w:val="apple-converted-space"/>
          <w:rFonts w:cs="Arial"/>
          <w:color w:val="000000"/>
          <w:sz w:val="24"/>
          <w:szCs w:val="24"/>
          <w:shd w:val="clear" w:color="auto" w:fill="FFFFFF"/>
          <w:lang w:val="en-US"/>
        </w:rPr>
        <w:t>-</w:t>
      </w:r>
      <w:r w:rsidR="006B64EE">
        <w:rPr>
          <w:rStyle w:val="apple-converted-space"/>
          <w:rFonts w:cs="Arial"/>
          <w:color w:val="000000"/>
          <w:sz w:val="24"/>
          <w:szCs w:val="24"/>
          <w:shd w:val="clear" w:color="auto" w:fill="FFFFFF"/>
          <w:lang w:val="en-US"/>
        </w:rPr>
        <w:t>7</w:t>
      </w:r>
      <w:r w:rsidR="00F3782D">
        <w:rPr>
          <w:rStyle w:val="apple-converted-space"/>
          <w:rFonts w:cs="Arial"/>
          <w:color w:val="000000"/>
          <w:sz w:val="24"/>
          <w:szCs w:val="24"/>
          <w:shd w:val="clear" w:color="auto" w:fill="FFFFFF"/>
          <w:lang w:val="en-US"/>
        </w:rPr>
        <w:t>2</w:t>
      </w:r>
      <w:r w:rsidR="00365472" w:rsidRPr="0034426D">
        <w:rPr>
          <w:rStyle w:val="apple-converted-space"/>
          <w:rFonts w:cs="Arial"/>
          <w:color w:val="000000"/>
          <w:sz w:val="24"/>
          <w:szCs w:val="24"/>
          <w:shd w:val="clear" w:color="auto" w:fill="FFFFFF"/>
          <w:lang w:val="en-US"/>
        </w:rPr>
        <w:t>]</w:t>
      </w:r>
      <w:r w:rsidR="008D28A6" w:rsidRPr="0034426D">
        <w:rPr>
          <w:rStyle w:val="apple-converted-space"/>
          <w:rFonts w:cs="Arial"/>
          <w:color w:val="000000"/>
          <w:sz w:val="24"/>
          <w:szCs w:val="24"/>
          <w:shd w:val="clear" w:color="auto" w:fill="FFFFFF"/>
          <w:lang w:val="en-US"/>
        </w:rPr>
        <w:t>.</w:t>
      </w:r>
    </w:p>
    <w:p w14:paraId="4FB94D35" w14:textId="77777777" w:rsidR="00275BC5" w:rsidRPr="0034426D" w:rsidRDefault="00275BC5" w:rsidP="00341D07">
      <w:pPr>
        <w:autoSpaceDE w:val="0"/>
        <w:autoSpaceDN w:val="0"/>
        <w:adjustRightInd w:val="0"/>
        <w:spacing w:after="0" w:line="360" w:lineRule="auto"/>
        <w:jc w:val="both"/>
        <w:rPr>
          <w:sz w:val="24"/>
          <w:szCs w:val="24"/>
          <w:lang w:val="en-US"/>
        </w:rPr>
      </w:pPr>
      <w:r w:rsidRPr="0034426D">
        <w:rPr>
          <w:sz w:val="24"/>
          <w:szCs w:val="24"/>
          <w:lang w:val="en-US"/>
        </w:rPr>
        <w:t>These problems could have in addition the effect of altering the PEG-conjugate biodistribution and bioavailability by acting on the complex clearance rate</w:t>
      </w:r>
      <w:r w:rsidR="00574E0F" w:rsidRPr="0034426D">
        <w:rPr>
          <w:sz w:val="24"/>
          <w:szCs w:val="24"/>
          <w:lang w:val="en-US"/>
        </w:rPr>
        <w:t xml:space="preserve"> [</w:t>
      </w:r>
      <w:r w:rsidR="006B64EE">
        <w:rPr>
          <w:sz w:val="24"/>
          <w:szCs w:val="24"/>
          <w:lang w:val="en-US"/>
        </w:rPr>
        <w:t>73</w:t>
      </w:r>
      <w:r w:rsidR="00574E0F" w:rsidRPr="0034426D">
        <w:rPr>
          <w:sz w:val="24"/>
          <w:szCs w:val="24"/>
          <w:lang w:val="en-US"/>
        </w:rPr>
        <w:t>]</w:t>
      </w:r>
      <w:r w:rsidRPr="0034426D">
        <w:rPr>
          <w:sz w:val="24"/>
          <w:szCs w:val="24"/>
          <w:lang w:val="en-US"/>
        </w:rPr>
        <w:t xml:space="preserve"> </w:t>
      </w:r>
      <w:r w:rsidR="002F7C87" w:rsidRPr="0034426D">
        <w:rPr>
          <w:sz w:val="24"/>
          <w:szCs w:val="24"/>
          <w:lang w:val="en-US"/>
        </w:rPr>
        <w:t xml:space="preserve">not only of </w:t>
      </w:r>
      <w:r w:rsidR="002E4BFB" w:rsidRPr="0034426D">
        <w:rPr>
          <w:sz w:val="24"/>
          <w:szCs w:val="24"/>
          <w:lang w:val="en-US"/>
        </w:rPr>
        <w:t>PAL but also of all other PEG-conjugate derivatives that</w:t>
      </w:r>
      <w:r w:rsidR="00D76D6C" w:rsidRPr="0034426D">
        <w:rPr>
          <w:sz w:val="24"/>
          <w:szCs w:val="24"/>
          <w:lang w:val="en-US"/>
        </w:rPr>
        <w:t xml:space="preserve"> </w:t>
      </w:r>
      <w:r w:rsidR="002E4BFB" w:rsidRPr="0034426D">
        <w:rPr>
          <w:sz w:val="24"/>
          <w:szCs w:val="24"/>
          <w:lang w:val="en-US"/>
        </w:rPr>
        <w:t>a patient in need should eventually take for reasons independent from PKU</w:t>
      </w:r>
      <w:r w:rsidRPr="0034426D">
        <w:rPr>
          <w:sz w:val="24"/>
          <w:szCs w:val="24"/>
          <w:lang w:val="en-US"/>
        </w:rPr>
        <w:t xml:space="preserve">. Administration through red blood cells as delivery system could therefore represent a valid and viable alternative to overcome such immunogenicity and bioavailability issues. </w:t>
      </w:r>
      <w:r w:rsidR="00FF76E4" w:rsidRPr="0034426D">
        <w:rPr>
          <w:sz w:val="24"/>
          <w:szCs w:val="24"/>
          <w:lang w:val="en-US"/>
        </w:rPr>
        <w:t>RBC</w:t>
      </w:r>
      <w:r w:rsidRPr="0034426D">
        <w:rPr>
          <w:sz w:val="24"/>
          <w:szCs w:val="24"/>
          <w:lang w:val="en-US"/>
        </w:rPr>
        <w:t xml:space="preserve">-mediated enzyme replacement therapy for PKU has been proposed for the first time in 1990 by Sprandel et al., in a short-term study demonstrating the </w:t>
      </w:r>
      <w:r w:rsidR="00EE540C" w:rsidRPr="0034426D">
        <w:rPr>
          <w:sz w:val="24"/>
          <w:szCs w:val="24"/>
          <w:lang w:val="en-US"/>
        </w:rPr>
        <w:t xml:space="preserve">effectiveness of this approach </w:t>
      </w:r>
      <w:r w:rsidR="00574E0F" w:rsidRPr="0034426D">
        <w:rPr>
          <w:sz w:val="24"/>
          <w:szCs w:val="24"/>
          <w:lang w:val="en-US"/>
        </w:rPr>
        <w:t>[7</w:t>
      </w:r>
      <w:r w:rsidR="006B64EE">
        <w:rPr>
          <w:sz w:val="24"/>
          <w:szCs w:val="24"/>
          <w:lang w:val="en-US"/>
        </w:rPr>
        <w:t>4</w:t>
      </w:r>
      <w:r w:rsidR="00574E0F" w:rsidRPr="0034426D">
        <w:rPr>
          <w:sz w:val="24"/>
          <w:szCs w:val="24"/>
          <w:lang w:val="en-US"/>
        </w:rPr>
        <w:t>]</w:t>
      </w:r>
      <w:r w:rsidRPr="0034426D">
        <w:rPr>
          <w:sz w:val="24"/>
          <w:szCs w:val="24"/>
          <w:lang w:val="en-US"/>
        </w:rPr>
        <w:t>.</w:t>
      </w:r>
    </w:p>
    <w:p w14:paraId="12D3BA35" w14:textId="77777777" w:rsidR="001E49D2" w:rsidRPr="0034426D" w:rsidRDefault="00275BC5" w:rsidP="00341D07">
      <w:pPr>
        <w:autoSpaceDE w:val="0"/>
        <w:autoSpaceDN w:val="0"/>
        <w:adjustRightInd w:val="0"/>
        <w:spacing w:after="0" w:line="360" w:lineRule="auto"/>
        <w:jc w:val="both"/>
        <w:rPr>
          <w:sz w:val="24"/>
          <w:szCs w:val="24"/>
          <w:lang w:val="en-US"/>
        </w:rPr>
      </w:pPr>
      <w:r w:rsidRPr="0034426D">
        <w:rPr>
          <w:sz w:val="24"/>
          <w:szCs w:val="24"/>
          <w:lang w:val="en-US"/>
        </w:rPr>
        <w:t xml:space="preserve">In a recent work, Rossi et al. </w:t>
      </w:r>
      <w:r w:rsidR="008D28A6" w:rsidRPr="0034426D">
        <w:rPr>
          <w:sz w:val="24"/>
          <w:szCs w:val="24"/>
          <w:lang w:val="en-US"/>
        </w:rPr>
        <w:t>[</w:t>
      </w:r>
      <w:r w:rsidR="006B64EE">
        <w:rPr>
          <w:sz w:val="24"/>
          <w:szCs w:val="24"/>
          <w:lang w:val="en-US"/>
        </w:rPr>
        <w:t>26</w:t>
      </w:r>
      <w:r w:rsidR="008D28A6" w:rsidRPr="0034426D">
        <w:rPr>
          <w:sz w:val="24"/>
          <w:szCs w:val="24"/>
          <w:lang w:val="en-US"/>
        </w:rPr>
        <w:t xml:space="preserve">] </w:t>
      </w:r>
      <w:r w:rsidRPr="0034426D">
        <w:rPr>
          <w:sz w:val="24"/>
          <w:szCs w:val="24"/>
          <w:lang w:val="en-US"/>
        </w:rPr>
        <w:t xml:space="preserve">have demonstrated </w:t>
      </w:r>
      <w:r w:rsidRPr="0034426D">
        <w:rPr>
          <w:i/>
          <w:iCs/>
          <w:sz w:val="24"/>
          <w:szCs w:val="24"/>
          <w:lang w:val="en-US"/>
        </w:rPr>
        <w:t xml:space="preserve">in vitro </w:t>
      </w:r>
      <w:r w:rsidRPr="0034426D">
        <w:rPr>
          <w:sz w:val="24"/>
          <w:szCs w:val="24"/>
          <w:lang w:val="en-US"/>
        </w:rPr>
        <w:t xml:space="preserve">the feasibility of </w:t>
      </w:r>
      <w:r w:rsidR="002F7C87" w:rsidRPr="0034426D">
        <w:rPr>
          <w:sz w:val="24"/>
          <w:szCs w:val="24"/>
          <w:lang w:val="en-US"/>
        </w:rPr>
        <w:t xml:space="preserve">rPAL </w:t>
      </w:r>
      <w:r w:rsidRPr="0034426D">
        <w:rPr>
          <w:sz w:val="24"/>
          <w:szCs w:val="24"/>
          <w:lang w:val="en-US"/>
        </w:rPr>
        <w:t>encapsulation into RBC</w:t>
      </w:r>
      <w:r w:rsidR="002F7C87" w:rsidRPr="0034426D">
        <w:rPr>
          <w:sz w:val="24"/>
          <w:szCs w:val="24"/>
          <w:lang w:val="en-US"/>
        </w:rPr>
        <w:t>s</w:t>
      </w:r>
      <w:r w:rsidR="00C91F52">
        <w:rPr>
          <w:sz w:val="24"/>
          <w:szCs w:val="24"/>
          <w:lang w:val="en-US"/>
        </w:rPr>
        <w:t xml:space="preserve"> </w:t>
      </w:r>
      <w:r w:rsidRPr="0034426D">
        <w:rPr>
          <w:sz w:val="24"/>
          <w:szCs w:val="24"/>
          <w:lang w:val="en-US"/>
        </w:rPr>
        <w:t>by a procedure of hypotonic dialysis, isotonic resealing and “reannealing”</w:t>
      </w:r>
      <w:r w:rsidR="000428FC" w:rsidRPr="0034426D">
        <w:rPr>
          <w:sz w:val="24"/>
          <w:szCs w:val="24"/>
          <w:lang w:val="en-US"/>
        </w:rPr>
        <w:t>,</w:t>
      </w:r>
      <w:r w:rsidRPr="0034426D">
        <w:rPr>
          <w:sz w:val="24"/>
          <w:szCs w:val="24"/>
          <w:lang w:val="en-US"/>
        </w:rPr>
        <w:t xml:space="preserve"> and the capacity of these loaded RBCs to provide a therapeutically relevant concentration of enzyme able to lower and maintain blood L-Phe levels as near as possible to physiologic values. In a second phase conducted on a murine model of phenylketonuria, the multiple treatment </w:t>
      </w:r>
      <w:r w:rsidR="00213FDF" w:rsidRPr="0034426D">
        <w:rPr>
          <w:sz w:val="24"/>
          <w:szCs w:val="24"/>
          <w:lang w:val="en-US"/>
        </w:rPr>
        <w:t xml:space="preserve">(at 9-10 day-intervals) </w:t>
      </w:r>
      <w:r w:rsidRPr="0034426D">
        <w:rPr>
          <w:sz w:val="24"/>
          <w:szCs w:val="24"/>
          <w:lang w:val="en-US"/>
        </w:rPr>
        <w:t xml:space="preserve">with the most suitable dose of rPAL-loaded RBCs confirmed </w:t>
      </w:r>
      <w:r w:rsidRPr="0034426D">
        <w:rPr>
          <w:i/>
          <w:sz w:val="24"/>
          <w:szCs w:val="24"/>
          <w:lang w:val="en-US"/>
        </w:rPr>
        <w:t xml:space="preserve">in vivo </w:t>
      </w:r>
      <w:r w:rsidRPr="0034426D">
        <w:rPr>
          <w:sz w:val="24"/>
          <w:szCs w:val="24"/>
          <w:lang w:val="en-US"/>
        </w:rPr>
        <w:t xml:space="preserve">the long-term ability </w:t>
      </w:r>
      <w:r w:rsidR="002F7C87" w:rsidRPr="0034426D">
        <w:rPr>
          <w:sz w:val="24"/>
          <w:szCs w:val="24"/>
          <w:lang w:val="en-US"/>
        </w:rPr>
        <w:t xml:space="preserve">to </w:t>
      </w:r>
      <w:r w:rsidRPr="0034426D">
        <w:rPr>
          <w:sz w:val="24"/>
          <w:szCs w:val="24"/>
          <w:lang w:val="en-US"/>
        </w:rPr>
        <w:t>restor</w:t>
      </w:r>
      <w:r w:rsidR="002F7C87" w:rsidRPr="0034426D">
        <w:rPr>
          <w:sz w:val="24"/>
          <w:szCs w:val="24"/>
          <w:lang w:val="en-US"/>
        </w:rPr>
        <w:t>e</w:t>
      </w:r>
      <w:r w:rsidRPr="0034426D">
        <w:rPr>
          <w:sz w:val="24"/>
          <w:szCs w:val="24"/>
          <w:lang w:val="en-US"/>
        </w:rPr>
        <w:t xml:space="preserve"> L-Phe plasma pool in a safe range </w:t>
      </w:r>
      <w:r w:rsidR="00213FDF" w:rsidRPr="0034426D">
        <w:rPr>
          <w:sz w:val="24"/>
          <w:szCs w:val="24"/>
          <w:lang w:val="en-US"/>
        </w:rPr>
        <w:t xml:space="preserve">during the whole experiment (70 </w:t>
      </w:r>
      <w:r w:rsidRPr="0034426D">
        <w:rPr>
          <w:sz w:val="24"/>
          <w:szCs w:val="24"/>
          <w:lang w:val="en-US"/>
        </w:rPr>
        <w:t>days</w:t>
      </w:r>
      <w:r w:rsidR="00213FDF" w:rsidRPr="0034426D">
        <w:rPr>
          <w:sz w:val="24"/>
          <w:szCs w:val="24"/>
          <w:lang w:val="en-US"/>
        </w:rPr>
        <w:t>)</w:t>
      </w:r>
      <w:r w:rsidRPr="0034426D">
        <w:rPr>
          <w:sz w:val="24"/>
          <w:szCs w:val="24"/>
          <w:lang w:val="en-US"/>
        </w:rPr>
        <w:t>. Moreover</w:t>
      </w:r>
      <w:r w:rsidR="002F7C87" w:rsidRPr="0034426D">
        <w:rPr>
          <w:sz w:val="24"/>
          <w:szCs w:val="24"/>
          <w:lang w:val="en-US"/>
        </w:rPr>
        <w:t>,</w:t>
      </w:r>
      <w:r w:rsidRPr="0034426D">
        <w:rPr>
          <w:sz w:val="24"/>
          <w:szCs w:val="24"/>
          <w:lang w:val="en-US"/>
        </w:rPr>
        <w:t xml:space="preserve"> evaluation of plasma antibodies revealed a growing increase in IgG titers</w:t>
      </w:r>
      <w:r w:rsidR="002F7C87" w:rsidRPr="0034426D">
        <w:rPr>
          <w:sz w:val="24"/>
          <w:szCs w:val="24"/>
          <w:lang w:val="en-US"/>
        </w:rPr>
        <w:t>;</w:t>
      </w:r>
      <w:r w:rsidRPr="0034426D">
        <w:rPr>
          <w:sz w:val="24"/>
          <w:szCs w:val="24"/>
          <w:lang w:val="en-US"/>
        </w:rPr>
        <w:t xml:space="preserve"> in fact</w:t>
      </w:r>
      <w:r w:rsidR="00D22464" w:rsidRPr="0034426D">
        <w:rPr>
          <w:sz w:val="24"/>
          <w:szCs w:val="24"/>
          <w:lang w:val="en-US"/>
        </w:rPr>
        <w:t>,</w:t>
      </w:r>
      <w:r w:rsidRPr="0034426D">
        <w:rPr>
          <w:sz w:val="24"/>
          <w:szCs w:val="24"/>
          <w:lang w:val="en-US"/>
        </w:rPr>
        <w:t xml:space="preserve"> the immune response is effectively elicited due to antigen processing and presentation by macrophages during the natural process of RBC clearance from circulation. However</w:t>
      </w:r>
      <w:r w:rsidR="002F7C87" w:rsidRPr="0034426D">
        <w:rPr>
          <w:sz w:val="24"/>
          <w:szCs w:val="24"/>
          <w:lang w:val="en-US"/>
        </w:rPr>
        <w:t>,</w:t>
      </w:r>
      <w:r w:rsidRPr="0034426D">
        <w:rPr>
          <w:sz w:val="24"/>
          <w:szCs w:val="24"/>
          <w:lang w:val="en-US"/>
        </w:rPr>
        <w:t xml:space="preserve"> neutralizing IgGs had no effect on rPAL, thus confirming the validity of erythrocytes as protecting delivery system.</w:t>
      </w:r>
    </w:p>
    <w:p w14:paraId="5F9B2F76" w14:textId="77777777" w:rsidR="00D65C71" w:rsidRPr="0034426D" w:rsidRDefault="00275BC5" w:rsidP="00341D07">
      <w:pPr>
        <w:autoSpaceDE w:val="0"/>
        <w:autoSpaceDN w:val="0"/>
        <w:adjustRightInd w:val="0"/>
        <w:spacing w:after="0" w:line="360" w:lineRule="auto"/>
        <w:jc w:val="both"/>
        <w:rPr>
          <w:sz w:val="24"/>
          <w:szCs w:val="24"/>
          <w:lang w:val="en-US"/>
        </w:rPr>
      </w:pPr>
      <w:r w:rsidRPr="0034426D">
        <w:rPr>
          <w:sz w:val="24"/>
          <w:szCs w:val="24"/>
          <w:lang w:val="en-US"/>
        </w:rPr>
        <w:t>On the whole, the great potential of protein loaded-RBCs as ERT for the treatment of inborn metabolic disease</w:t>
      </w:r>
      <w:r w:rsidR="002E4BFB" w:rsidRPr="0034426D">
        <w:rPr>
          <w:sz w:val="24"/>
          <w:szCs w:val="24"/>
          <w:lang w:val="en-US"/>
        </w:rPr>
        <w:t>s</w:t>
      </w:r>
      <w:r w:rsidRPr="0034426D">
        <w:rPr>
          <w:sz w:val="24"/>
          <w:szCs w:val="24"/>
          <w:lang w:val="en-US"/>
        </w:rPr>
        <w:t xml:space="preserve"> open</w:t>
      </w:r>
      <w:r w:rsidR="00213FDF" w:rsidRPr="0034426D">
        <w:rPr>
          <w:sz w:val="24"/>
          <w:szCs w:val="24"/>
          <w:lang w:val="en-US"/>
        </w:rPr>
        <w:t>s</w:t>
      </w:r>
      <w:r w:rsidRPr="0034426D">
        <w:rPr>
          <w:sz w:val="24"/>
          <w:szCs w:val="24"/>
          <w:lang w:val="en-US"/>
        </w:rPr>
        <w:t xml:space="preserve"> new perspectives for the development of </w:t>
      </w:r>
      <w:r w:rsidR="00441323" w:rsidRPr="0034426D">
        <w:rPr>
          <w:sz w:val="24"/>
          <w:szCs w:val="24"/>
          <w:lang w:val="en-US"/>
        </w:rPr>
        <w:t xml:space="preserve">therapies for other kinds of disorders, for example by using </w:t>
      </w:r>
      <w:r w:rsidRPr="0034426D">
        <w:rPr>
          <w:sz w:val="24"/>
          <w:szCs w:val="24"/>
          <w:lang w:val="en-US"/>
        </w:rPr>
        <w:t>enzyme</w:t>
      </w:r>
      <w:r w:rsidR="00441323" w:rsidRPr="0034426D">
        <w:rPr>
          <w:sz w:val="24"/>
          <w:szCs w:val="24"/>
          <w:lang w:val="en-US"/>
        </w:rPr>
        <w:t>s</w:t>
      </w:r>
      <w:r w:rsidRPr="0034426D">
        <w:rPr>
          <w:sz w:val="24"/>
          <w:szCs w:val="24"/>
          <w:lang w:val="en-US"/>
        </w:rPr>
        <w:t xml:space="preserve"> </w:t>
      </w:r>
      <w:r w:rsidR="00441323" w:rsidRPr="0034426D">
        <w:rPr>
          <w:sz w:val="24"/>
          <w:szCs w:val="24"/>
          <w:lang w:val="en-US"/>
        </w:rPr>
        <w:t>as antitumor drugs</w:t>
      </w:r>
      <w:r w:rsidRPr="0034426D">
        <w:rPr>
          <w:sz w:val="24"/>
          <w:szCs w:val="24"/>
          <w:lang w:val="en-US"/>
        </w:rPr>
        <w:t xml:space="preserve">. In </w:t>
      </w:r>
      <w:r w:rsidR="00441323" w:rsidRPr="0034426D">
        <w:rPr>
          <w:sz w:val="24"/>
          <w:szCs w:val="24"/>
          <w:lang w:val="en-US"/>
        </w:rPr>
        <w:t>this context</w:t>
      </w:r>
      <w:r w:rsidRPr="0034426D">
        <w:rPr>
          <w:sz w:val="24"/>
          <w:szCs w:val="24"/>
          <w:lang w:val="en-US"/>
        </w:rPr>
        <w:t xml:space="preserve">, clinical results up to now refer to the use of L-asparaginase </w:t>
      </w:r>
      <w:r w:rsidR="00441323" w:rsidRPr="0034426D">
        <w:rPr>
          <w:sz w:val="24"/>
          <w:szCs w:val="24"/>
          <w:lang w:val="en-US"/>
        </w:rPr>
        <w:t>for the treatment</w:t>
      </w:r>
      <w:r w:rsidRPr="0034426D">
        <w:rPr>
          <w:sz w:val="24"/>
          <w:szCs w:val="24"/>
          <w:lang w:val="en-US"/>
        </w:rPr>
        <w:t xml:space="preserve"> </w:t>
      </w:r>
      <w:r w:rsidR="00441323" w:rsidRPr="0034426D">
        <w:rPr>
          <w:sz w:val="24"/>
          <w:szCs w:val="24"/>
          <w:lang w:val="en-US"/>
        </w:rPr>
        <w:t xml:space="preserve">of </w:t>
      </w:r>
      <w:r w:rsidRPr="0034426D">
        <w:rPr>
          <w:sz w:val="24"/>
          <w:szCs w:val="24"/>
          <w:lang w:val="en-US"/>
        </w:rPr>
        <w:t>acute lymphoblastic leukemia (ALL) and lymphoid malignancies. ALL cells have to rely solely on a</w:t>
      </w:r>
      <w:r w:rsidR="002F7C87" w:rsidRPr="0034426D">
        <w:rPr>
          <w:sz w:val="24"/>
          <w:szCs w:val="24"/>
          <w:lang w:val="en-US"/>
        </w:rPr>
        <w:t>n</w:t>
      </w:r>
      <w:r w:rsidRPr="0034426D">
        <w:rPr>
          <w:sz w:val="24"/>
          <w:szCs w:val="24"/>
          <w:lang w:val="en-US"/>
        </w:rPr>
        <w:t xml:space="preserve"> extracellular source of L-asparagine (ASN) to maintain protein synthesis </w:t>
      </w:r>
      <w:r w:rsidR="002E4BFB" w:rsidRPr="0034426D">
        <w:rPr>
          <w:sz w:val="24"/>
          <w:szCs w:val="24"/>
          <w:lang w:val="en-US"/>
        </w:rPr>
        <w:t xml:space="preserve">because of a limited </w:t>
      </w:r>
      <w:r w:rsidRPr="0034426D">
        <w:rPr>
          <w:sz w:val="24"/>
          <w:szCs w:val="24"/>
          <w:lang w:val="en-US"/>
        </w:rPr>
        <w:t>expression of the enzyme asparagine synthetase (AS). As a consequence, systemic prolonged depletion of ASN by administration of asparaginase (enzyme that converts ASN to L-aspartic acid and ammonia) lead</w:t>
      </w:r>
      <w:r w:rsidR="002F7C87" w:rsidRPr="0034426D">
        <w:rPr>
          <w:sz w:val="24"/>
          <w:szCs w:val="24"/>
          <w:lang w:val="en-US"/>
        </w:rPr>
        <w:t>s</w:t>
      </w:r>
      <w:r w:rsidRPr="0034426D">
        <w:rPr>
          <w:sz w:val="24"/>
          <w:szCs w:val="24"/>
          <w:lang w:val="en-US"/>
        </w:rPr>
        <w:t xml:space="preserve"> to impairment of protein biosynthesis and to the arrest of</w:t>
      </w:r>
      <w:r w:rsidR="002F7C87" w:rsidRPr="0034426D">
        <w:rPr>
          <w:sz w:val="24"/>
          <w:szCs w:val="24"/>
          <w:lang w:val="en-US"/>
        </w:rPr>
        <w:t xml:space="preserve"> cancer</w:t>
      </w:r>
      <w:r w:rsidRPr="0034426D">
        <w:rPr>
          <w:sz w:val="24"/>
          <w:szCs w:val="24"/>
          <w:lang w:val="en-US"/>
        </w:rPr>
        <w:t xml:space="preserve"> cell cycle causing ALL cellular death </w:t>
      </w:r>
      <w:r w:rsidR="008D28A6" w:rsidRPr="0034426D">
        <w:rPr>
          <w:sz w:val="24"/>
          <w:szCs w:val="24"/>
          <w:lang w:val="en-US"/>
        </w:rPr>
        <w:t>[7</w:t>
      </w:r>
      <w:r w:rsidR="006B64EE">
        <w:rPr>
          <w:sz w:val="24"/>
          <w:szCs w:val="24"/>
          <w:lang w:val="en-US"/>
        </w:rPr>
        <w:t>5</w:t>
      </w:r>
      <w:r w:rsidR="008D28A6" w:rsidRPr="0034426D">
        <w:rPr>
          <w:sz w:val="24"/>
          <w:szCs w:val="24"/>
          <w:lang w:val="en-US"/>
        </w:rPr>
        <w:t>]</w:t>
      </w:r>
      <w:r w:rsidRPr="0034426D">
        <w:rPr>
          <w:sz w:val="24"/>
          <w:szCs w:val="24"/>
          <w:lang w:val="en-US"/>
        </w:rPr>
        <w:t xml:space="preserve">. L-asparaginase free supply presented some undesirable drawbacks </w:t>
      </w:r>
      <w:r w:rsidR="002F7C87" w:rsidRPr="0034426D">
        <w:rPr>
          <w:sz w:val="24"/>
          <w:szCs w:val="24"/>
          <w:lang w:val="en-US"/>
        </w:rPr>
        <w:t xml:space="preserve">such as </w:t>
      </w:r>
      <w:r w:rsidRPr="0034426D">
        <w:rPr>
          <w:sz w:val="24"/>
          <w:szCs w:val="24"/>
          <w:lang w:val="en-US"/>
        </w:rPr>
        <w:t>short plasma hal</w:t>
      </w:r>
      <w:r w:rsidR="005C6D47" w:rsidRPr="0034426D">
        <w:rPr>
          <w:sz w:val="24"/>
          <w:szCs w:val="24"/>
          <w:lang w:val="en-US"/>
        </w:rPr>
        <w:t>f</w:t>
      </w:r>
      <w:r w:rsidRPr="0034426D">
        <w:rPr>
          <w:sz w:val="24"/>
          <w:szCs w:val="24"/>
          <w:lang w:val="en-US"/>
        </w:rPr>
        <w:t>-life</w:t>
      </w:r>
      <w:r w:rsidR="005C6D47" w:rsidRPr="0034426D">
        <w:rPr>
          <w:sz w:val="24"/>
          <w:szCs w:val="24"/>
          <w:lang w:val="en-US"/>
        </w:rPr>
        <w:t xml:space="preserve"> (8-24 h)</w:t>
      </w:r>
      <w:r w:rsidRPr="0034426D">
        <w:rPr>
          <w:sz w:val="24"/>
          <w:szCs w:val="24"/>
          <w:lang w:val="en-US"/>
        </w:rPr>
        <w:t xml:space="preserve"> and high rate of allergic reactions</w:t>
      </w:r>
      <w:r w:rsidR="005C6D47" w:rsidRPr="0034426D">
        <w:rPr>
          <w:sz w:val="24"/>
          <w:szCs w:val="24"/>
          <w:lang w:val="en-US"/>
        </w:rPr>
        <w:t xml:space="preserve"> </w:t>
      </w:r>
      <w:r w:rsidR="00835AE8" w:rsidRPr="0034426D">
        <w:rPr>
          <w:sz w:val="24"/>
          <w:szCs w:val="24"/>
          <w:lang w:val="en-US"/>
        </w:rPr>
        <w:t>[</w:t>
      </w:r>
      <w:r w:rsidR="006B64EE">
        <w:rPr>
          <w:sz w:val="24"/>
          <w:szCs w:val="24"/>
          <w:lang w:val="en-US"/>
        </w:rPr>
        <w:t>76</w:t>
      </w:r>
      <w:r w:rsidR="00835AE8" w:rsidRPr="0034426D">
        <w:rPr>
          <w:sz w:val="24"/>
          <w:szCs w:val="24"/>
          <w:lang w:val="en-US"/>
        </w:rPr>
        <w:t>]</w:t>
      </w:r>
      <w:r w:rsidRPr="0034426D">
        <w:rPr>
          <w:sz w:val="24"/>
          <w:szCs w:val="24"/>
          <w:lang w:val="en-US"/>
        </w:rPr>
        <w:t xml:space="preserve">. PEG-modified enzyme partially overcame </w:t>
      </w:r>
      <w:r w:rsidR="002F7C87" w:rsidRPr="0034426D">
        <w:rPr>
          <w:sz w:val="24"/>
          <w:szCs w:val="24"/>
          <w:lang w:val="en-US"/>
        </w:rPr>
        <w:t xml:space="preserve">the </w:t>
      </w:r>
      <w:r w:rsidRPr="0034426D">
        <w:rPr>
          <w:sz w:val="24"/>
          <w:szCs w:val="24"/>
          <w:lang w:val="en-US"/>
        </w:rPr>
        <w:t>above mentioned inconveniences</w:t>
      </w:r>
      <w:r w:rsidR="00043F7A" w:rsidRPr="0034426D">
        <w:rPr>
          <w:sz w:val="24"/>
          <w:szCs w:val="24"/>
          <w:lang w:val="en-US"/>
        </w:rPr>
        <w:t xml:space="preserve"> (half-life extension of 5.6 days)</w:t>
      </w:r>
      <w:r w:rsidRPr="0034426D">
        <w:rPr>
          <w:sz w:val="24"/>
          <w:szCs w:val="24"/>
          <w:lang w:val="en-US"/>
        </w:rPr>
        <w:t xml:space="preserve">, but showed other important side effects including </w:t>
      </w:r>
      <w:r w:rsidR="005C6D47" w:rsidRPr="0034426D">
        <w:rPr>
          <w:sz w:val="24"/>
          <w:szCs w:val="24"/>
          <w:lang w:val="en-US"/>
        </w:rPr>
        <w:lastRenderedPageBreak/>
        <w:t xml:space="preserve">liver and pancreas </w:t>
      </w:r>
      <w:r w:rsidR="006F329F" w:rsidRPr="0034426D">
        <w:rPr>
          <w:sz w:val="24"/>
          <w:szCs w:val="24"/>
          <w:lang w:val="en-US"/>
        </w:rPr>
        <w:t>dysfunctions</w:t>
      </w:r>
      <w:r w:rsidR="005C6D47" w:rsidRPr="0034426D">
        <w:rPr>
          <w:sz w:val="24"/>
          <w:szCs w:val="24"/>
          <w:lang w:val="en-US"/>
        </w:rPr>
        <w:t xml:space="preserve">, neurological disorders and </w:t>
      </w:r>
      <w:r w:rsidR="006F329F" w:rsidRPr="0034426D">
        <w:rPr>
          <w:sz w:val="24"/>
          <w:szCs w:val="24"/>
          <w:lang w:val="en-US"/>
        </w:rPr>
        <w:t>most common</w:t>
      </w:r>
      <w:r w:rsidR="002F7C87" w:rsidRPr="0034426D">
        <w:rPr>
          <w:sz w:val="24"/>
          <w:szCs w:val="24"/>
          <w:lang w:val="en-US"/>
        </w:rPr>
        <w:t>ly</w:t>
      </w:r>
      <w:r w:rsidR="006F329F" w:rsidRPr="0034426D">
        <w:rPr>
          <w:sz w:val="24"/>
          <w:szCs w:val="24"/>
          <w:lang w:val="en-US"/>
        </w:rPr>
        <w:t xml:space="preserve"> symptoms of intolerance</w:t>
      </w:r>
      <w:r w:rsidRPr="0034426D">
        <w:rPr>
          <w:sz w:val="24"/>
          <w:szCs w:val="24"/>
          <w:lang w:val="en-US"/>
        </w:rPr>
        <w:t>. Thus, the encapsulation into</w:t>
      </w:r>
      <w:r w:rsidR="00C91F52">
        <w:rPr>
          <w:sz w:val="24"/>
          <w:szCs w:val="24"/>
          <w:lang w:val="en-US"/>
        </w:rPr>
        <w:t xml:space="preserve"> </w:t>
      </w:r>
      <w:r w:rsidRPr="0034426D">
        <w:rPr>
          <w:sz w:val="24"/>
          <w:szCs w:val="24"/>
          <w:lang w:val="en-US"/>
        </w:rPr>
        <w:t xml:space="preserve">RBCs has shown to </w:t>
      </w:r>
      <w:r w:rsidR="004650B2" w:rsidRPr="0034426D">
        <w:rPr>
          <w:sz w:val="24"/>
          <w:szCs w:val="24"/>
          <w:lang w:val="en-US"/>
        </w:rPr>
        <w:t>positively modify pharmacokinetic parameters of the drug by enhancing</w:t>
      </w:r>
      <w:r w:rsidRPr="0034426D">
        <w:rPr>
          <w:sz w:val="24"/>
          <w:szCs w:val="24"/>
          <w:lang w:val="en-US"/>
        </w:rPr>
        <w:t xml:space="preserve"> </w:t>
      </w:r>
      <w:r w:rsidR="002F7C87" w:rsidRPr="0034426D">
        <w:rPr>
          <w:sz w:val="24"/>
          <w:szCs w:val="24"/>
          <w:lang w:val="en-US"/>
        </w:rPr>
        <w:t xml:space="preserve">protein </w:t>
      </w:r>
      <w:r w:rsidRPr="0034426D">
        <w:rPr>
          <w:sz w:val="24"/>
          <w:szCs w:val="24"/>
          <w:lang w:val="en-US"/>
        </w:rPr>
        <w:t xml:space="preserve">half-life </w:t>
      </w:r>
      <w:r w:rsidR="006F329F" w:rsidRPr="0034426D">
        <w:rPr>
          <w:sz w:val="24"/>
          <w:szCs w:val="24"/>
          <w:lang w:val="en-US"/>
        </w:rPr>
        <w:t xml:space="preserve">(up to 29 days) </w:t>
      </w:r>
      <w:r w:rsidRPr="0034426D">
        <w:rPr>
          <w:sz w:val="24"/>
          <w:szCs w:val="24"/>
          <w:lang w:val="en-US"/>
        </w:rPr>
        <w:t>and to reduce adverse effects</w:t>
      </w:r>
      <w:r w:rsidR="00835AE8" w:rsidRPr="0034426D">
        <w:rPr>
          <w:sz w:val="24"/>
          <w:szCs w:val="24"/>
          <w:lang w:val="en-US"/>
        </w:rPr>
        <w:t xml:space="preserve"> [</w:t>
      </w:r>
      <w:r w:rsidR="006B64EE">
        <w:rPr>
          <w:sz w:val="24"/>
          <w:szCs w:val="24"/>
          <w:lang w:val="en-US"/>
        </w:rPr>
        <w:t>41</w:t>
      </w:r>
      <w:r w:rsidR="00835AE8" w:rsidRPr="0034426D">
        <w:rPr>
          <w:sz w:val="24"/>
          <w:szCs w:val="24"/>
          <w:lang w:val="en-US"/>
        </w:rPr>
        <w:t>,</w:t>
      </w:r>
      <w:r w:rsidR="006B64EE">
        <w:rPr>
          <w:sz w:val="24"/>
          <w:szCs w:val="24"/>
          <w:lang w:val="en-US"/>
        </w:rPr>
        <w:t>77,78</w:t>
      </w:r>
      <w:r w:rsidR="00835AE8" w:rsidRPr="0034426D">
        <w:rPr>
          <w:sz w:val="24"/>
          <w:szCs w:val="24"/>
          <w:lang w:val="en-US"/>
        </w:rPr>
        <w:t>]</w:t>
      </w:r>
      <w:r w:rsidRPr="0034426D">
        <w:rPr>
          <w:sz w:val="24"/>
          <w:szCs w:val="24"/>
          <w:lang w:val="en-US"/>
        </w:rPr>
        <w:t xml:space="preserve"> </w:t>
      </w:r>
      <w:r w:rsidR="006F329F" w:rsidRPr="0034426D">
        <w:rPr>
          <w:sz w:val="24"/>
          <w:szCs w:val="24"/>
          <w:lang w:val="en-US"/>
        </w:rPr>
        <w:t xml:space="preserve">as demonstrated </w:t>
      </w:r>
      <w:r w:rsidRPr="0034426D">
        <w:rPr>
          <w:sz w:val="24"/>
          <w:szCs w:val="24"/>
          <w:lang w:val="en-US"/>
        </w:rPr>
        <w:t xml:space="preserve">in </w:t>
      </w:r>
      <w:r w:rsidR="006F329F" w:rsidRPr="0034426D">
        <w:rPr>
          <w:sz w:val="24"/>
          <w:szCs w:val="24"/>
          <w:lang w:val="en-US"/>
        </w:rPr>
        <w:t xml:space="preserve">several </w:t>
      </w:r>
      <w:r w:rsidRPr="0034426D">
        <w:rPr>
          <w:sz w:val="24"/>
          <w:szCs w:val="24"/>
          <w:lang w:val="en-US"/>
        </w:rPr>
        <w:t xml:space="preserve">preclinical studies </w:t>
      </w:r>
      <w:r w:rsidR="00441323" w:rsidRPr="0034426D">
        <w:rPr>
          <w:sz w:val="24"/>
          <w:szCs w:val="24"/>
          <w:lang w:val="en-US"/>
        </w:rPr>
        <w:t>o</w:t>
      </w:r>
      <w:r w:rsidRPr="0034426D">
        <w:rPr>
          <w:sz w:val="24"/>
          <w:szCs w:val="24"/>
          <w:lang w:val="en-US"/>
        </w:rPr>
        <w:t xml:space="preserve">n </w:t>
      </w:r>
      <w:r w:rsidR="006F329F" w:rsidRPr="0034426D">
        <w:rPr>
          <w:sz w:val="24"/>
          <w:szCs w:val="24"/>
          <w:lang w:val="en-US"/>
        </w:rPr>
        <w:t>animal models (</w:t>
      </w:r>
      <w:r w:rsidRPr="0034426D">
        <w:rPr>
          <w:sz w:val="24"/>
          <w:szCs w:val="24"/>
          <w:lang w:val="en-US"/>
        </w:rPr>
        <w:t xml:space="preserve">mice </w:t>
      </w:r>
      <w:r w:rsidR="00835AE8" w:rsidRPr="0034426D">
        <w:rPr>
          <w:sz w:val="24"/>
          <w:szCs w:val="24"/>
          <w:lang w:val="en-US"/>
        </w:rPr>
        <w:t>[7</w:t>
      </w:r>
      <w:r w:rsidR="006B64EE">
        <w:rPr>
          <w:sz w:val="24"/>
          <w:szCs w:val="24"/>
          <w:lang w:val="en-US"/>
        </w:rPr>
        <w:t>9</w:t>
      </w:r>
      <w:r w:rsidR="00835AE8" w:rsidRPr="0034426D">
        <w:rPr>
          <w:sz w:val="24"/>
          <w:szCs w:val="24"/>
          <w:lang w:val="en-US"/>
        </w:rPr>
        <w:t xml:space="preserve">] </w:t>
      </w:r>
      <w:r w:rsidR="00441323" w:rsidRPr="0034426D">
        <w:rPr>
          <w:sz w:val="24"/>
          <w:szCs w:val="24"/>
          <w:lang w:val="en-US"/>
        </w:rPr>
        <w:t>and</w:t>
      </w:r>
      <w:r w:rsidR="006F329F" w:rsidRPr="0034426D">
        <w:rPr>
          <w:sz w:val="24"/>
          <w:szCs w:val="24"/>
          <w:lang w:val="en-US"/>
        </w:rPr>
        <w:t xml:space="preserve"> </w:t>
      </w:r>
      <w:r w:rsidRPr="0034426D">
        <w:rPr>
          <w:sz w:val="24"/>
          <w:szCs w:val="24"/>
          <w:lang w:val="en-US"/>
        </w:rPr>
        <w:t>monkey</w:t>
      </w:r>
      <w:r w:rsidR="002F7C87" w:rsidRPr="0034426D">
        <w:rPr>
          <w:sz w:val="24"/>
          <w:szCs w:val="24"/>
          <w:lang w:val="en-US"/>
        </w:rPr>
        <w:t>s</w:t>
      </w:r>
      <w:r w:rsidRPr="0034426D">
        <w:rPr>
          <w:sz w:val="24"/>
          <w:szCs w:val="24"/>
          <w:lang w:val="en-US"/>
        </w:rPr>
        <w:t xml:space="preserve"> </w:t>
      </w:r>
      <w:r w:rsidR="00835AE8" w:rsidRPr="0034426D">
        <w:rPr>
          <w:sz w:val="24"/>
          <w:szCs w:val="24"/>
          <w:lang w:val="en-US"/>
        </w:rPr>
        <w:t>[</w:t>
      </w:r>
      <w:r w:rsidR="006B64EE">
        <w:rPr>
          <w:sz w:val="24"/>
          <w:szCs w:val="24"/>
          <w:lang w:val="en-US"/>
        </w:rPr>
        <w:t>80</w:t>
      </w:r>
      <w:r w:rsidR="00835AE8" w:rsidRPr="0034426D">
        <w:rPr>
          <w:sz w:val="24"/>
          <w:szCs w:val="24"/>
          <w:lang w:val="en-US"/>
        </w:rPr>
        <w:t>]</w:t>
      </w:r>
      <w:r w:rsidR="00DE775B" w:rsidRPr="0034426D">
        <w:rPr>
          <w:sz w:val="24"/>
          <w:szCs w:val="24"/>
          <w:lang w:val="en-US"/>
        </w:rPr>
        <w:t>)</w:t>
      </w:r>
      <w:r w:rsidRPr="0034426D">
        <w:rPr>
          <w:sz w:val="24"/>
          <w:szCs w:val="24"/>
          <w:lang w:val="en-US"/>
        </w:rPr>
        <w:t>.</w:t>
      </w:r>
    </w:p>
    <w:p w14:paraId="5F78A226" w14:textId="77777777" w:rsidR="00123B13" w:rsidRPr="0034426D" w:rsidRDefault="002F7C87" w:rsidP="00341D07">
      <w:pPr>
        <w:autoSpaceDE w:val="0"/>
        <w:autoSpaceDN w:val="0"/>
        <w:adjustRightInd w:val="0"/>
        <w:spacing w:after="0" w:line="360" w:lineRule="auto"/>
        <w:jc w:val="both"/>
        <w:rPr>
          <w:sz w:val="24"/>
          <w:szCs w:val="24"/>
          <w:lang w:val="en-US"/>
        </w:rPr>
      </w:pPr>
      <w:r w:rsidRPr="0034426D">
        <w:rPr>
          <w:sz w:val="24"/>
          <w:szCs w:val="24"/>
          <w:lang w:val="en-US"/>
        </w:rPr>
        <w:t xml:space="preserve">This </w:t>
      </w:r>
      <w:r w:rsidR="00D65C71" w:rsidRPr="0034426D">
        <w:rPr>
          <w:sz w:val="24"/>
          <w:szCs w:val="24"/>
          <w:lang w:val="en-US"/>
        </w:rPr>
        <w:t>evidence</w:t>
      </w:r>
      <w:r w:rsidR="00A62874" w:rsidRPr="0034426D">
        <w:rPr>
          <w:sz w:val="24"/>
          <w:szCs w:val="24"/>
          <w:lang w:val="en-US"/>
        </w:rPr>
        <w:t xml:space="preserve"> </w:t>
      </w:r>
      <w:r w:rsidRPr="0034426D">
        <w:rPr>
          <w:sz w:val="24"/>
          <w:szCs w:val="24"/>
          <w:lang w:val="en-US"/>
        </w:rPr>
        <w:t xml:space="preserve">was also </w:t>
      </w:r>
      <w:r w:rsidR="00391FA0" w:rsidRPr="0034426D">
        <w:rPr>
          <w:sz w:val="24"/>
          <w:szCs w:val="24"/>
          <w:lang w:val="en-US"/>
        </w:rPr>
        <w:t>revealed</w:t>
      </w:r>
      <w:r w:rsidR="00D65C71" w:rsidRPr="0034426D">
        <w:rPr>
          <w:sz w:val="24"/>
          <w:szCs w:val="24"/>
          <w:lang w:val="en-US"/>
        </w:rPr>
        <w:t xml:space="preserve"> </w:t>
      </w:r>
      <w:r w:rsidR="00043F7A" w:rsidRPr="0034426D">
        <w:rPr>
          <w:sz w:val="24"/>
          <w:szCs w:val="24"/>
          <w:lang w:val="en-US"/>
        </w:rPr>
        <w:t xml:space="preserve">in </w:t>
      </w:r>
      <w:r w:rsidR="00391FA0" w:rsidRPr="0034426D">
        <w:rPr>
          <w:sz w:val="24"/>
          <w:szCs w:val="24"/>
          <w:lang w:val="en-US"/>
        </w:rPr>
        <w:t xml:space="preserve">pilot </w:t>
      </w:r>
      <w:r w:rsidR="00043F7A" w:rsidRPr="0034426D">
        <w:rPr>
          <w:sz w:val="24"/>
          <w:szCs w:val="24"/>
          <w:lang w:val="en-US"/>
        </w:rPr>
        <w:t xml:space="preserve">human clinical trials </w:t>
      </w:r>
      <w:r w:rsidR="00544030" w:rsidRPr="0034426D">
        <w:rPr>
          <w:sz w:val="24"/>
          <w:szCs w:val="24"/>
          <w:lang w:val="en-US"/>
        </w:rPr>
        <w:t>[7</w:t>
      </w:r>
      <w:r w:rsidR="006B64EE">
        <w:rPr>
          <w:sz w:val="24"/>
          <w:szCs w:val="24"/>
          <w:lang w:val="en-US"/>
        </w:rPr>
        <w:t>7</w:t>
      </w:r>
      <w:r w:rsidR="00544030" w:rsidRPr="0034426D">
        <w:rPr>
          <w:sz w:val="24"/>
          <w:szCs w:val="24"/>
          <w:lang w:val="en-US"/>
        </w:rPr>
        <w:t xml:space="preserve">] </w:t>
      </w:r>
      <w:r w:rsidRPr="0034426D">
        <w:rPr>
          <w:sz w:val="24"/>
          <w:szCs w:val="24"/>
          <w:lang w:val="en-US"/>
        </w:rPr>
        <w:t xml:space="preserve">in which </w:t>
      </w:r>
      <w:r w:rsidR="00D65C71" w:rsidRPr="0034426D">
        <w:rPr>
          <w:sz w:val="24"/>
          <w:szCs w:val="24"/>
          <w:lang w:val="en-US"/>
        </w:rPr>
        <w:t>plasma asparagine concentration rapidly decrease</w:t>
      </w:r>
      <w:r w:rsidRPr="0034426D">
        <w:rPr>
          <w:sz w:val="24"/>
          <w:szCs w:val="24"/>
          <w:lang w:val="en-US"/>
        </w:rPr>
        <w:t>d</w:t>
      </w:r>
      <w:r w:rsidR="00D65C71" w:rsidRPr="0034426D">
        <w:rPr>
          <w:sz w:val="24"/>
          <w:szCs w:val="24"/>
          <w:lang w:val="en-US"/>
        </w:rPr>
        <w:t xml:space="preserve"> and remain</w:t>
      </w:r>
      <w:r w:rsidRPr="0034426D">
        <w:rPr>
          <w:sz w:val="24"/>
          <w:szCs w:val="24"/>
          <w:lang w:val="en-US"/>
        </w:rPr>
        <w:t>ed</w:t>
      </w:r>
      <w:r w:rsidR="004650B2" w:rsidRPr="0034426D">
        <w:rPr>
          <w:sz w:val="24"/>
          <w:szCs w:val="24"/>
          <w:lang w:val="en-US"/>
        </w:rPr>
        <w:t xml:space="preserve"> to </w:t>
      </w:r>
      <w:r w:rsidR="002E4BFB" w:rsidRPr="0034426D">
        <w:rPr>
          <w:sz w:val="24"/>
          <w:szCs w:val="24"/>
          <w:lang w:val="en-US"/>
        </w:rPr>
        <w:t>low</w:t>
      </w:r>
      <w:r w:rsidR="00D65C71" w:rsidRPr="0034426D">
        <w:rPr>
          <w:sz w:val="24"/>
          <w:szCs w:val="24"/>
          <w:lang w:val="en-US"/>
        </w:rPr>
        <w:t xml:space="preserve"> level</w:t>
      </w:r>
      <w:r w:rsidR="004650B2" w:rsidRPr="0034426D">
        <w:rPr>
          <w:sz w:val="24"/>
          <w:szCs w:val="24"/>
          <w:lang w:val="en-US"/>
        </w:rPr>
        <w:t>s</w:t>
      </w:r>
      <w:r w:rsidR="00D65C71" w:rsidRPr="0034426D">
        <w:rPr>
          <w:sz w:val="24"/>
          <w:szCs w:val="24"/>
          <w:lang w:val="en-US"/>
        </w:rPr>
        <w:t xml:space="preserve"> for an extensive period </w:t>
      </w:r>
      <w:r w:rsidR="002E4BFB" w:rsidRPr="0034426D">
        <w:rPr>
          <w:sz w:val="24"/>
          <w:szCs w:val="24"/>
          <w:lang w:val="en-US"/>
        </w:rPr>
        <w:t xml:space="preserve">of time </w:t>
      </w:r>
      <w:r w:rsidR="00D65C71" w:rsidRPr="0034426D">
        <w:rPr>
          <w:sz w:val="24"/>
          <w:szCs w:val="24"/>
          <w:lang w:val="en-US"/>
        </w:rPr>
        <w:t xml:space="preserve">improving </w:t>
      </w:r>
      <w:r w:rsidR="00391FA0" w:rsidRPr="0034426D">
        <w:rPr>
          <w:sz w:val="24"/>
          <w:szCs w:val="24"/>
          <w:lang w:val="en-US"/>
        </w:rPr>
        <w:t xml:space="preserve">the </w:t>
      </w:r>
      <w:r w:rsidR="00043F7A" w:rsidRPr="0034426D">
        <w:rPr>
          <w:sz w:val="24"/>
          <w:szCs w:val="24"/>
          <w:lang w:val="en-US"/>
        </w:rPr>
        <w:t>enzyme efficacy</w:t>
      </w:r>
      <w:r w:rsidR="00D65C71" w:rsidRPr="0034426D">
        <w:rPr>
          <w:sz w:val="24"/>
          <w:szCs w:val="24"/>
          <w:lang w:val="en-US"/>
        </w:rPr>
        <w:t>.</w:t>
      </w:r>
      <w:r w:rsidR="004650B2" w:rsidRPr="0034426D">
        <w:rPr>
          <w:sz w:val="24"/>
          <w:szCs w:val="24"/>
          <w:lang w:val="en-US"/>
        </w:rPr>
        <w:t xml:space="preserve"> </w:t>
      </w:r>
      <w:r w:rsidR="00391FA0" w:rsidRPr="0034426D">
        <w:rPr>
          <w:sz w:val="24"/>
          <w:szCs w:val="24"/>
          <w:lang w:val="en-US"/>
        </w:rPr>
        <w:t xml:space="preserve">Currently </w:t>
      </w:r>
      <w:r w:rsidR="00123B13" w:rsidRPr="0034426D">
        <w:rPr>
          <w:rFonts w:cs="Arial"/>
          <w:color w:val="000000"/>
          <w:sz w:val="24"/>
          <w:szCs w:val="24"/>
          <w:shd w:val="clear" w:color="auto" w:fill="FFFFFF"/>
          <w:lang w:val="en-US"/>
        </w:rPr>
        <w:t>open randomized international</w:t>
      </w:r>
      <w:r w:rsidR="00123B13" w:rsidRPr="0034426D">
        <w:rPr>
          <w:sz w:val="24"/>
          <w:szCs w:val="24"/>
          <w:lang w:val="en-US"/>
        </w:rPr>
        <w:t xml:space="preserve"> </w:t>
      </w:r>
      <w:r w:rsidRPr="0034426D">
        <w:rPr>
          <w:sz w:val="24"/>
          <w:szCs w:val="24"/>
          <w:lang w:val="en-US"/>
        </w:rPr>
        <w:t>P</w:t>
      </w:r>
      <w:r w:rsidR="00391FA0" w:rsidRPr="0034426D">
        <w:rPr>
          <w:sz w:val="24"/>
          <w:szCs w:val="24"/>
          <w:lang w:val="en-US"/>
        </w:rPr>
        <w:t>hase II</w:t>
      </w:r>
      <w:r w:rsidR="00123B13" w:rsidRPr="0034426D">
        <w:rPr>
          <w:sz w:val="24"/>
          <w:szCs w:val="24"/>
          <w:lang w:val="en-US"/>
        </w:rPr>
        <w:t xml:space="preserve"> </w:t>
      </w:r>
      <w:r w:rsidR="00391FA0" w:rsidRPr="0034426D">
        <w:rPr>
          <w:sz w:val="24"/>
          <w:szCs w:val="24"/>
          <w:lang w:val="en-US"/>
        </w:rPr>
        <w:t xml:space="preserve">clinical trial </w:t>
      </w:r>
      <w:r w:rsidR="00123B13" w:rsidRPr="0034426D">
        <w:rPr>
          <w:sz w:val="24"/>
          <w:szCs w:val="24"/>
          <w:lang w:val="en-US"/>
        </w:rPr>
        <w:t xml:space="preserve">(dose-finding study) </w:t>
      </w:r>
      <w:r w:rsidR="00391FA0" w:rsidRPr="0034426D">
        <w:rPr>
          <w:sz w:val="24"/>
          <w:szCs w:val="24"/>
          <w:lang w:val="en-US"/>
        </w:rPr>
        <w:t xml:space="preserve">to evaluate the real clinical efficacy in the treatment of ALL </w:t>
      </w:r>
      <w:r w:rsidR="00C71451" w:rsidRPr="0034426D">
        <w:rPr>
          <w:sz w:val="24"/>
          <w:szCs w:val="24"/>
          <w:lang w:val="en-US"/>
        </w:rPr>
        <w:t>(</w:t>
      </w:r>
      <w:r w:rsidR="00C71451" w:rsidRPr="0034426D">
        <w:rPr>
          <w:rFonts w:cs="Arial"/>
          <w:color w:val="000000"/>
          <w:sz w:val="24"/>
          <w:szCs w:val="24"/>
          <w:shd w:val="clear" w:color="auto" w:fill="FFFFFF"/>
          <w:lang w:val="en-US"/>
        </w:rPr>
        <w:t>NCT01518517</w:t>
      </w:r>
      <w:r w:rsidR="00C71451" w:rsidRPr="0034426D">
        <w:rPr>
          <w:sz w:val="24"/>
          <w:szCs w:val="24"/>
          <w:lang w:val="en-US"/>
        </w:rPr>
        <w:t xml:space="preserve">) </w:t>
      </w:r>
      <w:r w:rsidR="00391FA0" w:rsidRPr="0034426D">
        <w:rPr>
          <w:sz w:val="24"/>
          <w:szCs w:val="24"/>
          <w:lang w:val="en-US"/>
        </w:rPr>
        <w:t>confirm</w:t>
      </w:r>
      <w:r w:rsidR="00C71451" w:rsidRPr="0034426D">
        <w:rPr>
          <w:sz w:val="24"/>
          <w:szCs w:val="24"/>
          <w:lang w:val="en-US"/>
        </w:rPr>
        <w:t>s</w:t>
      </w:r>
      <w:r w:rsidR="00391FA0" w:rsidRPr="0034426D">
        <w:rPr>
          <w:sz w:val="24"/>
          <w:szCs w:val="24"/>
          <w:lang w:val="en-US"/>
        </w:rPr>
        <w:t xml:space="preserve"> these recent findings. </w:t>
      </w:r>
      <w:r w:rsidR="0051728E" w:rsidRPr="0034426D">
        <w:rPr>
          <w:sz w:val="24"/>
          <w:szCs w:val="24"/>
          <w:lang w:val="en-US"/>
        </w:rPr>
        <w:t>Moreover, even though the anti-</w:t>
      </w:r>
      <w:r w:rsidR="00441323" w:rsidRPr="0034426D">
        <w:rPr>
          <w:sz w:val="24"/>
          <w:szCs w:val="24"/>
          <w:lang w:val="en-US"/>
        </w:rPr>
        <w:t>L</w:t>
      </w:r>
      <w:r w:rsidR="0051728E" w:rsidRPr="0034426D">
        <w:rPr>
          <w:sz w:val="24"/>
          <w:szCs w:val="24"/>
          <w:lang w:val="en-US"/>
        </w:rPr>
        <w:t xml:space="preserve">-asparaginase antibodies formation was observed in the patients’ group </w:t>
      </w:r>
      <w:r w:rsidR="00123B13" w:rsidRPr="0034426D">
        <w:rPr>
          <w:sz w:val="24"/>
          <w:szCs w:val="24"/>
          <w:lang w:val="en-US"/>
        </w:rPr>
        <w:t>treated with</w:t>
      </w:r>
      <w:r w:rsidR="0051728E" w:rsidRPr="0034426D">
        <w:rPr>
          <w:sz w:val="24"/>
          <w:szCs w:val="24"/>
          <w:lang w:val="en-US"/>
        </w:rPr>
        <w:t xml:space="preserve"> asparaginase-loaded RBCs, t</w:t>
      </w:r>
      <w:r w:rsidR="004650B2" w:rsidRPr="0034426D">
        <w:rPr>
          <w:sz w:val="24"/>
          <w:szCs w:val="24"/>
          <w:lang w:val="en-US"/>
        </w:rPr>
        <w:t xml:space="preserve">he enzyme was </w:t>
      </w:r>
      <w:r w:rsidR="0051728E" w:rsidRPr="0034426D">
        <w:rPr>
          <w:sz w:val="24"/>
          <w:szCs w:val="24"/>
          <w:lang w:val="en-US"/>
        </w:rPr>
        <w:t xml:space="preserve">not </w:t>
      </w:r>
      <w:r w:rsidRPr="0034426D">
        <w:rPr>
          <w:sz w:val="24"/>
          <w:szCs w:val="24"/>
          <w:lang w:val="en-US"/>
        </w:rPr>
        <w:t xml:space="preserve">prone </w:t>
      </w:r>
      <w:r w:rsidR="004650B2" w:rsidRPr="0034426D">
        <w:rPr>
          <w:sz w:val="24"/>
          <w:szCs w:val="24"/>
          <w:lang w:val="en-US"/>
        </w:rPr>
        <w:t xml:space="preserve">to progressive </w:t>
      </w:r>
      <w:r w:rsidR="00A018AD" w:rsidRPr="0034426D">
        <w:rPr>
          <w:sz w:val="24"/>
          <w:szCs w:val="24"/>
          <w:lang w:val="en-US"/>
        </w:rPr>
        <w:t>neutralization</w:t>
      </w:r>
      <w:r w:rsidR="004650B2" w:rsidRPr="0034426D">
        <w:rPr>
          <w:sz w:val="24"/>
          <w:szCs w:val="24"/>
          <w:lang w:val="en-US"/>
        </w:rPr>
        <w:t xml:space="preserve"> by </w:t>
      </w:r>
      <w:r w:rsidRPr="0034426D">
        <w:rPr>
          <w:sz w:val="24"/>
          <w:szCs w:val="24"/>
          <w:lang w:val="en-US"/>
        </w:rPr>
        <w:t xml:space="preserve">the </w:t>
      </w:r>
      <w:r w:rsidR="0051728E" w:rsidRPr="0034426D">
        <w:rPr>
          <w:sz w:val="24"/>
          <w:szCs w:val="24"/>
          <w:lang w:val="en-US"/>
        </w:rPr>
        <w:t xml:space="preserve">immune response </w:t>
      </w:r>
      <w:r w:rsidR="00DE775B" w:rsidRPr="0034426D">
        <w:rPr>
          <w:sz w:val="24"/>
          <w:szCs w:val="24"/>
          <w:lang w:val="en-US"/>
        </w:rPr>
        <w:t>[</w:t>
      </w:r>
      <w:r w:rsidR="006B64EE">
        <w:rPr>
          <w:sz w:val="24"/>
          <w:szCs w:val="24"/>
          <w:lang w:val="en-US"/>
        </w:rPr>
        <w:t>40</w:t>
      </w:r>
      <w:r w:rsidR="00DE775B" w:rsidRPr="0034426D">
        <w:rPr>
          <w:sz w:val="24"/>
          <w:szCs w:val="24"/>
          <w:lang w:val="en-US"/>
        </w:rPr>
        <w:t>]</w:t>
      </w:r>
      <w:r w:rsidR="00C24626" w:rsidRPr="0034426D">
        <w:rPr>
          <w:sz w:val="24"/>
          <w:szCs w:val="24"/>
          <w:lang w:val="en-US"/>
        </w:rPr>
        <w:t xml:space="preserve">, </w:t>
      </w:r>
      <w:r w:rsidR="00760857" w:rsidRPr="0034426D">
        <w:rPr>
          <w:rFonts w:cs="Arial"/>
          <w:color w:val="000000"/>
          <w:sz w:val="24"/>
          <w:szCs w:val="24"/>
          <w:shd w:val="clear" w:color="auto" w:fill="FFFFFF"/>
          <w:lang w:val="en-US"/>
        </w:rPr>
        <w:t>due to the protective barrier</w:t>
      </w:r>
      <w:r w:rsidR="00C91F52">
        <w:rPr>
          <w:rFonts w:cs="Arial"/>
          <w:color w:val="000000"/>
          <w:sz w:val="24"/>
          <w:szCs w:val="24"/>
          <w:shd w:val="clear" w:color="auto" w:fill="FFFFFF"/>
          <w:lang w:val="en-US"/>
        </w:rPr>
        <w:t xml:space="preserve"> </w:t>
      </w:r>
      <w:r w:rsidR="00221C44" w:rsidRPr="0034426D">
        <w:rPr>
          <w:rFonts w:cs="Arial"/>
          <w:color w:val="000000"/>
          <w:sz w:val="24"/>
          <w:szCs w:val="24"/>
          <w:shd w:val="clear" w:color="auto" w:fill="FFFFFF"/>
          <w:lang w:val="en-US"/>
        </w:rPr>
        <w:t xml:space="preserve">provided by </w:t>
      </w:r>
      <w:r w:rsidR="00760857" w:rsidRPr="0034426D">
        <w:rPr>
          <w:rFonts w:cs="Arial"/>
          <w:color w:val="000000"/>
          <w:sz w:val="24"/>
          <w:szCs w:val="24"/>
          <w:shd w:val="clear" w:color="auto" w:fill="FFFFFF"/>
          <w:lang w:val="en-US"/>
        </w:rPr>
        <w:t>the</w:t>
      </w:r>
      <w:r w:rsidR="00FF76E4" w:rsidRPr="0034426D">
        <w:rPr>
          <w:rStyle w:val="apple-converted-space"/>
          <w:rFonts w:cs="Arial"/>
          <w:color w:val="000000"/>
          <w:sz w:val="24"/>
          <w:szCs w:val="24"/>
          <w:shd w:val="clear" w:color="auto" w:fill="FFFFFF"/>
          <w:lang w:val="en-US"/>
        </w:rPr>
        <w:t xml:space="preserve"> </w:t>
      </w:r>
      <w:r w:rsidR="00760857" w:rsidRPr="0034426D">
        <w:rPr>
          <w:rStyle w:val="apple-converted-space"/>
          <w:rFonts w:cs="Arial"/>
          <w:color w:val="000000"/>
          <w:sz w:val="24"/>
          <w:szCs w:val="24"/>
          <w:shd w:val="clear" w:color="auto" w:fill="FFFFFF"/>
          <w:lang w:val="en-US"/>
        </w:rPr>
        <w:t xml:space="preserve">erythrocyte </w:t>
      </w:r>
      <w:r w:rsidR="00760857" w:rsidRPr="0034426D">
        <w:rPr>
          <w:rFonts w:cs="Arial"/>
          <w:color w:val="000000"/>
          <w:sz w:val="24"/>
          <w:szCs w:val="24"/>
          <w:shd w:val="clear" w:color="auto" w:fill="FFFFFF"/>
          <w:lang w:val="en-US"/>
        </w:rPr>
        <w:t>membrane</w:t>
      </w:r>
      <w:r w:rsidR="00123B13" w:rsidRPr="0034426D">
        <w:rPr>
          <w:rFonts w:cs="Arial"/>
          <w:color w:val="000000"/>
          <w:sz w:val="24"/>
          <w:szCs w:val="24"/>
          <w:shd w:val="clear" w:color="auto" w:fill="FFFFFF"/>
          <w:lang w:val="en-US"/>
        </w:rPr>
        <w:t>.</w:t>
      </w:r>
      <w:r w:rsidR="00760857" w:rsidRPr="0034426D">
        <w:rPr>
          <w:sz w:val="24"/>
          <w:szCs w:val="24"/>
          <w:lang w:val="en-US"/>
        </w:rPr>
        <w:t xml:space="preserve"> </w:t>
      </w:r>
      <w:r w:rsidR="008B25E0" w:rsidRPr="0034426D">
        <w:rPr>
          <w:sz w:val="24"/>
          <w:szCs w:val="24"/>
          <w:lang w:val="en-US"/>
        </w:rPr>
        <w:t>A</w:t>
      </w:r>
      <w:r w:rsidR="00C24626" w:rsidRPr="0034426D">
        <w:rPr>
          <w:rFonts w:cs="Arial"/>
          <w:color w:val="000000"/>
          <w:sz w:val="24"/>
          <w:szCs w:val="24"/>
          <w:shd w:val="clear" w:color="auto" w:fill="FFFFFF"/>
          <w:lang w:val="en-US"/>
        </w:rPr>
        <w:t xml:space="preserve">ny clinical signs of hypersensitivity associated with antibody </w:t>
      </w:r>
      <w:r w:rsidR="00123B13" w:rsidRPr="0034426D">
        <w:rPr>
          <w:rFonts w:cs="Arial"/>
          <w:color w:val="000000"/>
          <w:sz w:val="24"/>
          <w:szCs w:val="24"/>
          <w:shd w:val="clear" w:color="auto" w:fill="FFFFFF"/>
          <w:lang w:val="en-US"/>
        </w:rPr>
        <w:t xml:space="preserve">production and </w:t>
      </w:r>
      <w:r w:rsidR="008B25E0" w:rsidRPr="0034426D">
        <w:rPr>
          <w:rFonts w:cs="Arial"/>
          <w:color w:val="000000"/>
          <w:sz w:val="24"/>
          <w:szCs w:val="24"/>
          <w:shd w:val="clear" w:color="auto" w:fill="FFFFFF"/>
          <w:lang w:val="en-US"/>
        </w:rPr>
        <w:t xml:space="preserve">the maintenance of enzyme efficacy following repeated administrations of loaded RBCs are under investigation by </w:t>
      </w:r>
      <w:r w:rsidR="00221C44" w:rsidRPr="0034426D">
        <w:rPr>
          <w:rFonts w:cs="Arial"/>
          <w:color w:val="000000"/>
          <w:sz w:val="24"/>
          <w:szCs w:val="24"/>
          <w:shd w:val="clear" w:color="auto" w:fill="FFFFFF"/>
          <w:lang w:val="en-US"/>
        </w:rPr>
        <w:t>P</w:t>
      </w:r>
      <w:r w:rsidR="008B25E0" w:rsidRPr="0034426D">
        <w:rPr>
          <w:rFonts w:cs="Arial"/>
          <w:color w:val="000000"/>
          <w:sz w:val="24"/>
          <w:szCs w:val="24"/>
          <w:shd w:val="clear" w:color="auto" w:fill="FFFFFF"/>
          <w:lang w:val="en-US"/>
        </w:rPr>
        <w:t xml:space="preserve">hase </w:t>
      </w:r>
      <w:r w:rsidR="0004674F" w:rsidRPr="0034426D">
        <w:rPr>
          <w:rFonts w:cs="Arial"/>
          <w:color w:val="000000"/>
          <w:sz w:val="24"/>
          <w:szCs w:val="24"/>
          <w:shd w:val="clear" w:color="auto" w:fill="FFFFFF"/>
          <w:lang w:val="en-US"/>
        </w:rPr>
        <w:t>II/</w:t>
      </w:r>
      <w:r w:rsidR="008B25E0" w:rsidRPr="0034426D">
        <w:rPr>
          <w:rFonts w:cs="Arial"/>
          <w:color w:val="000000"/>
          <w:sz w:val="24"/>
          <w:szCs w:val="24"/>
          <w:shd w:val="clear" w:color="auto" w:fill="FFFFFF"/>
          <w:lang w:val="en-US"/>
        </w:rPr>
        <w:t xml:space="preserve">III </w:t>
      </w:r>
      <w:r w:rsidR="0004674F" w:rsidRPr="0034426D">
        <w:rPr>
          <w:rFonts w:cs="Arial"/>
          <w:color w:val="000000"/>
          <w:sz w:val="24"/>
          <w:szCs w:val="24"/>
          <w:shd w:val="clear" w:color="auto" w:fill="FFFFFF"/>
          <w:lang w:val="en-US"/>
        </w:rPr>
        <w:t xml:space="preserve">in several </w:t>
      </w:r>
      <w:r w:rsidR="008B25E0" w:rsidRPr="0034426D">
        <w:rPr>
          <w:rFonts w:cs="Arial"/>
          <w:color w:val="000000"/>
          <w:sz w:val="24"/>
          <w:szCs w:val="24"/>
          <w:shd w:val="clear" w:color="auto" w:fill="FFFFFF"/>
          <w:lang w:val="en-US"/>
        </w:rPr>
        <w:t>clinical trial</w:t>
      </w:r>
      <w:r w:rsidR="0004674F" w:rsidRPr="0034426D">
        <w:rPr>
          <w:rFonts w:cs="Arial"/>
          <w:color w:val="000000"/>
          <w:sz w:val="24"/>
          <w:szCs w:val="24"/>
          <w:shd w:val="clear" w:color="auto" w:fill="FFFFFF"/>
          <w:lang w:val="en-US"/>
        </w:rPr>
        <w:t>s</w:t>
      </w:r>
      <w:r w:rsidR="004650B2" w:rsidRPr="0034426D">
        <w:rPr>
          <w:sz w:val="24"/>
          <w:szCs w:val="24"/>
          <w:lang w:val="en-US"/>
        </w:rPr>
        <w:t>.</w:t>
      </w:r>
    </w:p>
    <w:p w14:paraId="31F1754E" w14:textId="77777777" w:rsidR="00221C44" w:rsidRPr="0034426D" w:rsidRDefault="00E91717" w:rsidP="00341D07">
      <w:pPr>
        <w:autoSpaceDE w:val="0"/>
        <w:autoSpaceDN w:val="0"/>
        <w:adjustRightInd w:val="0"/>
        <w:spacing w:after="0" w:line="360" w:lineRule="auto"/>
        <w:jc w:val="both"/>
        <w:rPr>
          <w:rFonts w:cs="AdvTT5235d5a9"/>
          <w:sz w:val="24"/>
          <w:szCs w:val="24"/>
          <w:lang w:val="en-US"/>
        </w:rPr>
      </w:pPr>
      <w:r w:rsidRPr="0034426D">
        <w:rPr>
          <w:sz w:val="24"/>
          <w:szCs w:val="24"/>
          <w:lang w:val="en-US"/>
        </w:rPr>
        <w:t xml:space="preserve">Besides </w:t>
      </w:r>
      <w:r w:rsidR="00E07FBA" w:rsidRPr="0034426D">
        <w:rPr>
          <w:sz w:val="24"/>
          <w:szCs w:val="24"/>
          <w:lang w:val="en-US"/>
        </w:rPr>
        <w:t>the</w:t>
      </w:r>
      <w:r w:rsidRPr="0034426D">
        <w:rPr>
          <w:sz w:val="24"/>
          <w:szCs w:val="24"/>
          <w:lang w:val="en-US"/>
        </w:rPr>
        <w:t xml:space="preserve"> role as </w:t>
      </w:r>
      <w:r w:rsidR="00E07FBA" w:rsidRPr="0034426D">
        <w:rPr>
          <w:sz w:val="24"/>
          <w:szCs w:val="24"/>
          <w:lang w:val="en-US"/>
        </w:rPr>
        <w:t>delivery system</w:t>
      </w:r>
      <w:r w:rsidRPr="0034426D">
        <w:rPr>
          <w:sz w:val="24"/>
          <w:szCs w:val="24"/>
          <w:lang w:val="en-US"/>
        </w:rPr>
        <w:t xml:space="preserve"> to clear undesired molecules from the bloodstream,</w:t>
      </w:r>
      <w:r w:rsidR="00C91F52">
        <w:rPr>
          <w:sz w:val="24"/>
          <w:szCs w:val="24"/>
          <w:lang w:val="en-US"/>
        </w:rPr>
        <w:t xml:space="preserve"> </w:t>
      </w:r>
      <w:r w:rsidR="000B79D6" w:rsidRPr="0034426D">
        <w:rPr>
          <w:sz w:val="24"/>
          <w:szCs w:val="24"/>
          <w:lang w:val="en-US"/>
        </w:rPr>
        <w:t>erythrocytes</w:t>
      </w:r>
      <w:r w:rsidRPr="0034426D">
        <w:rPr>
          <w:sz w:val="24"/>
          <w:szCs w:val="24"/>
          <w:lang w:val="en-US"/>
        </w:rPr>
        <w:t xml:space="preserve"> could </w:t>
      </w:r>
      <w:r w:rsidR="006A0D4C" w:rsidRPr="0034426D">
        <w:rPr>
          <w:sz w:val="24"/>
          <w:szCs w:val="24"/>
          <w:lang w:val="en-US"/>
        </w:rPr>
        <w:t xml:space="preserve">also </w:t>
      </w:r>
      <w:r w:rsidRPr="0034426D">
        <w:rPr>
          <w:sz w:val="24"/>
          <w:szCs w:val="24"/>
          <w:lang w:val="en-US"/>
        </w:rPr>
        <w:t xml:space="preserve">target the </w:t>
      </w:r>
      <w:r w:rsidR="006A0D4C" w:rsidRPr="0034426D">
        <w:rPr>
          <w:sz w:val="24"/>
          <w:szCs w:val="24"/>
          <w:lang w:val="en-US"/>
        </w:rPr>
        <w:t xml:space="preserve">entrapped </w:t>
      </w:r>
      <w:r w:rsidR="000B79D6" w:rsidRPr="0034426D">
        <w:rPr>
          <w:sz w:val="24"/>
          <w:szCs w:val="24"/>
          <w:lang w:val="en-US"/>
        </w:rPr>
        <w:t>proteins</w:t>
      </w:r>
      <w:r w:rsidR="006A0D4C" w:rsidRPr="0034426D">
        <w:rPr>
          <w:sz w:val="24"/>
          <w:szCs w:val="24"/>
          <w:lang w:val="en-US"/>
        </w:rPr>
        <w:t xml:space="preserve"> </w:t>
      </w:r>
      <w:r w:rsidRPr="0034426D">
        <w:rPr>
          <w:sz w:val="24"/>
          <w:szCs w:val="24"/>
          <w:lang w:val="en-US"/>
        </w:rPr>
        <w:t>to the RES compartment.</w:t>
      </w:r>
      <w:r w:rsidR="007955E6" w:rsidRPr="0034426D">
        <w:rPr>
          <w:sz w:val="24"/>
          <w:szCs w:val="24"/>
          <w:lang w:val="en-US"/>
        </w:rPr>
        <w:t xml:space="preserve"> </w:t>
      </w:r>
      <w:r w:rsidR="007955E6" w:rsidRPr="0034426D">
        <w:rPr>
          <w:rFonts w:cs="AdvTT5235d5a9"/>
          <w:sz w:val="24"/>
          <w:szCs w:val="24"/>
          <w:lang w:val="en-US"/>
        </w:rPr>
        <w:t xml:space="preserve">In fact, </w:t>
      </w:r>
      <w:r w:rsidR="00E07FBA" w:rsidRPr="0034426D">
        <w:rPr>
          <w:rFonts w:cs="AdvTT5235d5a9"/>
          <w:sz w:val="24"/>
          <w:szCs w:val="24"/>
          <w:lang w:val="en-US"/>
        </w:rPr>
        <w:t xml:space="preserve">by accelerating the </w:t>
      </w:r>
      <w:r w:rsidR="000B79D6" w:rsidRPr="0034426D">
        <w:rPr>
          <w:rFonts w:cs="AdvTT5235d5a9"/>
          <w:sz w:val="24"/>
          <w:szCs w:val="24"/>
          <w:lang w:val="en-US"/>
        </w:rPr>
        <w:t xml:space="preserve">natural removal </w:t>
      </w:r>
      <w:r w:rsidR="000C24CE" w:rsidRPr="0034426D">
        <w:rPr>
          <w:rFonts w:cs="AdvTT5235d5a9"/>
          <w:sz w:val="24"/>
          <w:szCs w:val="24"/>
          <w:lang w:val="en-US"/>
        </w:rPr>
        <w:t>mechanism</w:t>
      </w:r>
      <w:r w:rsidR="00E07FBA" w:rsidRPr="0034426D">
        <w:rPr>
          <w:rFonts w:cs="AdvTT5235d5a9"/>
          <w:sz w:val="24"/>
          <w:szCs w:val="24"/>
          <w:lang w:val="en-US"/>
        </w:rPr>
        <w:t xml:space="preserve"> of </w:t>
      </w:r>
      <w:r w:rsidR="000C24CE" w:rsidRPr="0034426D">
        <w:rPr>
          <w:rFonts w:cs="AdvTT5235d5a9"/>
          <w:sz w:val="24"/>
          <w:szCs w:val="24"/>
          <w:lang w:val="en-US"/>
        </w:rPr>
        <w:t xml:space="preserve">senescent or damage </w:t>
      </w:r>
      <w:r w:rsidR="00E07FBA" w:rsidRPr="0034426D">
        <w:rPr>
          <w:rFonts w:cs="AdvTT5235d5a9"/>
          <w:sz w:val="24"/>
          <w:szCs w:val="24"/>
          <w:lang w:val="en-US"/>
        </w:rPr>
        <w:t xml:space="preserve">red blood cells from circulation, </w:t>
      </w:r>
      <w:r w:rsidR="00C96E83" w:rsidRPr="0034426D">
        <w:rPr>
          <w:rFonts w:cs="AdvTT5235d5a9"/>
          <w:sz w:val="24"/>
          <w:szCs w:val="24"/>
          <w:lang w:val="en-US"/>
        </w:rPr>
        <w:t>various</w:t>
      </w:r>
      <w:r w:rsidR="00E07FBA" w:rsidRPr="0034426D">
        <w:rPr>
          <w:rFonts w:cs="AdvTT5235d5a9"/>
          <w:sz w:val="24"/>
          <w:szCs w:val="24"/>
          <w:lang w:val="en-US"/>
        </w:rPr>
        <w:t xml:space="preserve"> </w:t>
      </w:r>
      <w:r w:rsidR="000B79D6" w:rsidRPr="0034426D">
        <w:rPr>
          <w:rFonts w:cs="AdvTT5235d5a9"/>
          <w:sz w:val="24"/>
          <w:szCs w:val="24"/>
          <w:lang w:val="en-US"/>
        </w:rPr>
        <w:t>enzymes</w:t>
      </w:r>
      <w:r w:rsidR="00E07FBA" w:rsidRPr="0034426D">
        <w:rPr>
          <w:rFonts w:cs="AdvTT5235d5a9"/>
          <w:sz w:val="24"/>
          <w:szCs w:val="24"/>
          <w:lang w:val="en-US"/>
        </w:rPr>
        <w:t xml:space="preserve"> encapsulated into RBCs can be </w:t>
      </w:r>
      <w:r w:rsidR="00221C44" w:rsidRPr="0034426D">
        <w:rPr>
          <w:rFonts w:cs="AdvTT5235d5a9"/>
          <w:sz w:val="24"/>
          <w:szCs w:val="24"/>
          <w:lang w:val="en-US"/>
        </w:rPr>
        <w:t xml:space="preserve">rapidly and selectively </w:t>
      </w:r>
      <w:r w:rsidR="00E07FBA" w:rsidRPr="0034426D">
        <w:rPr>
          <w:rFonts w:cs="AdvTT5235d5a9"/>
          <w:sz w:val="24"/>
          <w:szCs w:val="24"/>
          <w:lang w:val="en-US"/>
        </w:rPr>
        <w:t>target</w:t>
      </w:r>
      <w:r w:rsidR="006A0D4C" w:rsidRPr="0034426D">
        <w:rPr>
          <w:rFonts w:cs="AdvTT5235d5a9"/>
          <w:sz w:val="24"/>
          <w:szCs w:val="24"/>
          <w:lang w:val="en-US"/>
        </w:rPr>
        <w:t>ed</w:t>
      </w:r>
      <w:r w:rsidR="00E07FBA" w:rsidRPr="0034426D">
        <w:rPr>
          <w:rFonts w:cs="AdvTT5235d5a9"/>
          <w:sz w:val="24"/>
          <w:szCs w:val="24"/>
          <w:lang w:val="en-US"/>
        </w:rPr>
        <w:t xml:space="preserve"> to macrophages</w:t>
      </w:r>
      <w:r w:rsidR="000B79D6" w:rsidRPr="0034426D">
        <w:rPr>
          <w:rFonts w:cs="AdvTT5235d5a9"/>
          <w:sz w:val="24"/>
          <w:szCs w:val="24"/>
          <w:lang w:val="en-US"/>
        </w:rPr>
        <w:t>.</w:t>
      </w:r>
      <w:r w:rsidR="006A0D4C" w:rsidRPr="0034426D">
        <w:rPr>
          <w:rFonts w:cs="AdvTT5235d5a9"/>
          <w:sz w:val="24"/>
          <w:szCs w:val="24"/>
          <w:lang w:val="en-US"/>
        </w:rPr>
        <w:t xml:space="preserve"> </w:t>
      </w:r>
      <w:r w:rsidR="009343AB" w:rsidRPr="000B0A0A">
        <w:rPr>
          <w:rFonts w:cs="AdvTT5235d5a9"/>
          <w:sz w:val="24"/>
          <w:szCs w:val="24"/>
          <w:lang w:val="en-US"/>
        </w:rPr>
        <w:t xml:space="preserve">This can be achieved by further submitting RBCs loaded with the drug of interest to a procedure of artificial membrane aging (by the use of zinc and bis(sulfosuccinimydil)suberate) </w:t>
      </w:r>
      <w:r w:rsidR="00746F4E" w:rsidRPr="000B0A0A">
        <w:rPr>
          <w:rFonts w:cs="AdvTT5235d5a9"/>
          <w:sz w:val="24"/>
          <w:szCs w:val="24"/>
          <w:lang w:val="en-US"/>
        </w:rPr>
        <w:t xml:space="preserve">promoting </w:t>
      </w:r>
      <w:r w:rsidR="009343AB" w:rsidRPr="000B0A0A">
        <w:rPr>
          <w:rFonts w:cs="AdvTT5235d5a9"/>
          <w:sz w:val="24"/>
          <w:szCs w:val="24"/>
          <w:lang w:val="en-US"/>
        </w:rPr>
        <w:t>band 3 clustering which permits rapid recognition and phagocytosis by RES</w:t>
      </w:r>
      <w:r w:rsidR="00F02564" w:rsidRPr="000B0A0A">
        <w:rPr>
          <w:rFonts w:cs="AdvTT5235d5a9"/>
          <w:sz w:val="24"/>
          <w:szCs w:val="24"/>
          <w:lang w:val="en-US"/>
        </w:rPr>
        <w:t xml:space="preserve"> </w:t>
      </w:r>
      <w:r w:rsidR="006B64EE" w:rsidRPr="000B0A0A">
        <w:rPr>
          <w:rFonts w:cs="AdvTT5235d5a9"/>
          <w:sz w:val="24"/>
          <w:szCs w:val="24"/>
          <w:lang w:val="en-US"/>
        </w:rPr>
        <w:t>[81].</w:t>
      </w:r>
    </w:p>
    <w:p w14:paraId="172E0196" w14:textId="77777777" w:rsidR="00170665" w:rsidRPr="0034426D" w:rsidRDefault="00221C44" w:rsidP="00341D07">
      <w:pPr>
        <w:autoSpaceDE w:val="0"/>
        <w:autoSpaceDN w:val="0"/>
        <w:adjustRightInd w:val="0"/>
        <w:spacing w:after="0" w:line="360" w:lineRule="auto"/>
        <w:jc w:val="both"/>
        <w:rPr>
          <w:rFonts w:cs="AdvTT5235d5a9"/>
          <w:sz w:val="24"/>
          <w:szCs w:val="24"/>
          <w:lang w:val="en-US"/>
        </w:rPr>
      </w:pPr>
      <w:r w:rsidRPr="0034426D">
        <w:rPr>
          <w:rFonts w:cs="AdvTT5235d5a9"/>
          <w:sz w:val="24"/>
          <w:szCs w:val="24"/>
          <w:lang w:val="en-US"/>
        </w:rPr>
        <w:t>To</w:t>
      </w:r>
      <w:r w:rsidR="000B79D6" w:rsidRPr="0034426D">
        <w:rPr>
          <w:rFonts w:cs="AdvTT5235d5a9"/>
          <w:sz w:val="24"/>
          <w:szCs w:val="24"/>
          <w:lang w:val="en-US"/>
        </w:rPr>
        <w:t xml:space="preserve"> this purpose, the</w:t>
      </w:r>
      <w:r w:rsidR="001A04AC" w:rsidRPr="0034426D">
        <w:rPr>
          <w:rFonts w:cs="AdvTT5235d5a9"/>
          <w:sz w:val="24"/>
          <w:szCs w:val="24"/>
          <w:lang w:val="en-US"/>
        </w:rPr>
        <w:t xml:space="preserve"> licensed pharmacological</w:t>
      </w:r>
      <w:r w:rsidR="000B79D6" w:rsidRPr="0034426D">
        <w:rPr>
          <w:rFonts w:cs="AdvTT5235d5a9"/>
          <w:sz w:val="24"/>
          <w:szCs w:val="24"/>
          <w:lang w:val="en-US"/>
        </w:rPr>
        <w:t xml:space="preserve"> glucocerebrosidase provides an ERT </w:t>
      </w:r>
      <w:r w:rsidR="009F248F" w:rsidRPr="0034426D">
        <w:rPr>
          <w:rFonts w:cs="AdvTT5235d5a9"/>
          <w:sz w:val="24"/>
          <w:szCs w:val="24"/>
          <w:lang w:val="en-US"/>
        </w:rPr>
        <w:t xml:space="preserve">option </w:t>
      </w:r>
      <w:r w:rsidR="000B79D6" w:rsidRPr="0034426D">
        <w:rPr>
          <w:rFonts w:cs="AdvTT5235d5a9"/>
          <w:sz w:val="24"/>
          <w:szCs w:val="24"/>
          <w:lang w:val="en-US"/>
        </w:rPr>
        <w:t xml:space="preserve">in Gaucher’s disease </w:t>
      </w:r>
      <w:r w:rsidR="00544030" w:rsidRPr="0034426D">
        <w:rPr>
          <w:rFonts w:cs="AdvTT5235d5a9"/>
          <w:sz w:val="24"/>
          <w:szCs w:val="24"/>
          <w:lang w:val="en-US"/>
        </w:rPr>
        <w:t>[</w:t>
      </w:r>
      <w:r w:rsidR="006B64EE">
        <w:rPr>
          <w:rFonts w:cs="AdvTT5235d5a9"/>
          <w:sz w:val="24"/>
          <w:szCs w:val="24"/>
          <w:lang w:val="en-US"/>
        </w:rPr>
        <w:t>82</w:t>
      </w:r>
      <w:r w:rsidR="00544030" w:rsidRPr="0034426D">
        <w:rPr>
          <w:rFonts w:cs="AdvTT5235d5a9"/>
          <w:sz w:val="24"/>
          <w:szCs w:val="24"/>
          <w:lang w:val="en-US"/>
        </w:rPr>
        <w:t>]</w:t>
      </w:r>
      <w:r w:rsidR="001A04AC" w:rsidRPr="0034426D">
        <w:rPr>
          <w:rFonts w:cs="AdvTT5235d5a9"/>
          <w:sz w:val="24"/>
          <w:szCs w:val="24"/>
          <w:lang w:val="en-US"/>
        </w:rPr>
        <w:t>, a lysosomal storage disorder characterized by an accumulation of glucocerebroside in cells of the RES and bone marrow due to inherited deficiency of this enzyme.</w:t>
      </w:r>
      <w:r w:rsidR="00D76D6C" w:rsidRPr="0034426D">
        <w:rPr>
          <w:rFonts w:cs="AdvTT5235d5a9"/>
          <w:sz w:val="24"/>
          <w:szCs w:val="24"/>
          <w:lang w:val="en-US"/>
        </w:rPr>
        <w:t xml:space="preserve"> </w:t>
      </w:r>
      <w:r w:rsidRPr="0034426D">
        <w:rPr>
          <w:sz w:val="24"/>
          <w:szCs w:val="24"/>
          <w:lang w:val="en-US"/>
        </w:rPr>
        <w:t>To date</w:t>
      </w:r>
      <w:r w:rsidR="00A62874" w:rsidRPr="0034426D">
        <w:rPr>
          <w:sz w:val="24"/>
          <w:szCs w:val="24"/>
          <w:lang w:val="en-US"/>
        </w:rPr>
        <w:t>,</w:t>
      </w:r>
      <w:r w:rsidR="00B1428E" w:rsidRPr="0034426D">
        <w:rPr>
          <w:sz w:val="24"/>
          <w:szCs w:val="24"/>
          <w:lang w:val="en-US"/>
        </w:rPr>
        <w:t xml:space="preserve"> only one known </w:t>
      </w:r>
      <w:r w:rsidR="00342500" w:rsidRPr="0034426D">
        <w:rPr>
          <w:sz w:val="24"/>
          <w:szCs w:val="24"/>
          <w:lang w:val="en-US"/>
        </w:rPr>
        <w:t>attempt</w:t>
      </w:r>
      <w:r w:rsidR="00B1428E" w:rsidRPr="0034426D">
        <w:rPr>
          <w:sz w:val="24"/>
          <w:szCs w:val="24"/>
          <w:lang w:val="en-US"/>
        </w:rPr>
        <w:t xml:space="preserve"> demonstrated the safety of repeated administrations of</w:t>
      </w:r>
      <w:r w:rsidR="00CC532E" w:rsidRPr="0034426D">
        <w:rPr>
          <w:sz w:val="24"/>
          <w:szCs w:val="24"/>
          <w:lang w:val="en-US"/>
        </w:rPr>
        <w:t xml:space="preserve"> </w:t>
      </w:r>
      <w:r w:rsidR="00B1428E" w:rsidRPr="0034426D">
        <w:rPr>
          <w:rFonts w:cs="AdvTT5235d5a9"/>
          <w:sz w:val="24"/>
          <w:szCs w:val="24"/>
          <w:lang w:val="en-US"/>
        </w:rPr>
        <w:t>glucocerebrosidase-loaded RBCs</w:t>
      </w:r>
      <w:r w:rsidRPr="0034426D">
        <w:rPr>
          <w:rFonts w:cs="AdvTT5235d5a9"/>
          <w:sz w:val="24"/>
          <w:szCs w:val="24"/>
          <w:lang w:val="en-US"/>
        </w:rPr>
        <w:t>,</w:t>
      </w:r>
      <w:r w:rsidR="00B1428E" w:rsidRPr="0034426D">
        <w:rPr>
          <w:rFonts w:cs="AdvTT5235d5a9"/>
          <w:sz w:val="24"/>
          <w:szCs w:val="24"/>
          <w:lang w:val="en-US"/>
        </w:rPr>
        <w:t xml:space="preserve"> showing </w:t>
      </w:r>
      <w:r w:rsidR="009F248F" w:rsidRPr="0034426D">
        <w:rPr>
          <w:rFonts w:cs="AdvTT5235d5a9"/>
          <w:sz w:val="24"/>
          <w:szCs w:val="24"/>
          <w:lang w:val="en-US"/>
        </w:rPr>
        <w:t>benefit</w:t>
      </w:r>
      <w:r w:rsidR="00B1428E" w:rsidRPr="0034426D">
        <w:rPr>
          <w:rFonts w:cs="AdvTT5235d5a9"/>
          <w:sz w:val="24"/>
          <w:szCs w:val="24"/>
          <w:lang w:val="en-US"/>
        </w:rPr>
        <w:t xml:space="preserve"> in liver function and relief of subjective symptoms </w:t>
      </w:r>
      <w:r w:rsidR="00DE775B" w:rsidRPr="0034426D">
        <w:rPr>
          <w:rFonts w:cs="AdvTT5235d5a9"/>
          <w:sz w:val="24"/>
          <w:szCs w:val="24"/>
          <w:lang w:val="en-US"/>
        </w:rPr>
        <w:t>[</w:t>
      </w:r>
      <w:r w:rsidR="006B64EE">
        <w:rPr>
          <w:rFonts w:cs="AdvTT5235d5a9"/>
          <w:sz w:val="24"/>
          <w:szCs w:val="24"/>
          <w:lang w:val="en-US"/>
        </w:rPr>
        <w:t>83</w:t>
      </w:r>
      <w:r w:rsidR="00DE775B" w:rsidRPr="0034426D">
        <w:rPr>
          <w:rFonts w:cs="AdvTT5235d5a9"/>
          <w:sz w:val="24"/>
          <w:szCs w:val="24"/>
          <w:lang w:val="en-US"/>
        </w:rPr>
        <w:t>]</w:t>
      </w:r>
      <w:r w:rsidR="00B1428E" w:rsidRPr="0034426D">
        <w:rPr>
          <w:rFonts w:cs="AdvTT5235d5a9"/>
          <w:sz w:val="24"/>
          <w:szCs w:val="24"/>
          <w:lang w:val="en-US"/>
        </w:rPr>
        <w:t>.</w:t>
      </w:r>
    </w:p>
    <w:p w14:paraId="5AFF9F92" w14:textId="77777777" w:rsidR="00C96E83" w:rsidRDefault="00C96E83" w:rsidP="00341D07">
      <w:pPr>
        <w:autoSpaceDE w:val="0"/>
        <w:autoSpaceDN w:val="0"/>
        <w:adjustRightInd w:val="0"/>
        <w:spacing w:after="0" w:line="360" w:lineRule="auto"/>
        <w:jc w:val="both"/>
        <w:rPr>
          <w:rFonts w:cs="AdvTT5235d5a9"/>
          <w:sz w:val="24"/>
          <w:szCs w:val="24"/>
          <w:lang w:val="en-US"/>
        </w:rPr>
      </w:pPr>
      <w:r w:rsidRPr="0034426D">
        <w:rPr>
          <w:rFonts w:cs="AdvTT5235d5a9"/>
          <w:sz w:val="24"/>
          <w:szCs w:val="24"/>
          <w:lang w:val="en-US"/>
        </w:rPr>
        <w:t>By using this promising strategy of drug targeting through phagocytosis of RBCs, a number of different compounds can be efficiently delivered to macrophages for several purposes.</w:t>
      </w:r>
      <w:r w:rsidR="00EE540C" w:rsidRPr="0034426D">
        <w:rPr>
          <w:rFonts w:cs="AdvTT5235d5a9"/>
          <w:sz w:val="24"/>
          <w:szCs w:val="24"/>
          <w:lang w:val="en-US"/>
        </w:rPr>
        <w:t xml:space="preserve"> </w:t>
      </w:r>
      <w:r w:rsidR="004873D8" w:rsidRPr="0034426D">
        <w:rPr>
          <w:rFonts w:cs="AdvTT5235d5a9"/>
          <w:sz w:val="24"/>
          <w:szCs w:val="24"/>
          <w:lang w:val="en-US"/>
        </w:rPr>
        <w:t xml:space="preserve">Despite their central role in </w:t>
      </w:r>
      <w:r w:rsidR="00221C44" w:rsidRPr="0034426D">
        <w:rPr>
          <w:rFonts w:cs="AdvTT5235d5a9"/>
          <w:sz w:val="24"/>
          <w:szCs w:val="24"/>
          <w:lang w:val="en-US"/>
        </w:rPr>
        <w:t xml:space="preserve">maintaining </w:t>
      </w:r>
      <w:r w:rsidR="004873D8" w:rsidRPr="0034426D">
        <w:rPr>
          <w:rFonts w:cs="AdvTT5235d5a9"/>
          <w:sz w:val="24"/>
          <w:szCs w:val="24"/>
          <w:lang w:val="en-US"/>
        </w:rPr>
        <w:t xml:space="preserve">body homeostasis, macrophages </w:t>
      </w:r>
      <w:r w:rsidR="001A0290" w:rsidRPr="0034426D">
        <w:rPr>
          <w:rFonts w:cs="AdvTT5235d5a9"/>
          <w:sz w:val="24"/>
          <w:szCs w:val="24"/>
          <w:lang w:val="en-US"/>
        </w:rPr>
        <w:t>are involved in harmful inflammatory reactions (</w:t>
      </w:r>
      <w:r w:rsidR="002122CF" w:rsidRPr="0034426D">
        <w:rPr>
          <w:rFonts w:cs="AdvTT5235d5a9"/>
          <w:sz w:val="24"/>
          <w:szCs w:val="24"/>
          <w:lang w:val="en-US"/>
        </w:rPr>
        <w:t xml:space="preserve">i.e. </w:t>
      </w:r>
      <w:r w:rsidR="001A0290" w:rsidRPr="0034426D">
        <w:rPr>
          <w:rFonts w:cs="AdvTT5235d5a9"/>
          <w:sz w:val="24"/>
          <w:szCs w:val="24"/>
          <w:lang w:val="en-US"/>
        </w:rPr>
        <w:t xml:space="preserve">rheumatoid arthritis), various autoimmune </w:t>
      </w:r>
      <w:r w:rsidR="00254F47" w:rsidRPr="0034426D">
        <w:rPr>
          <w:rFonts w:cs="AdvTT5235d5a9"/>
          <w:sz w:val="24"/>
          <w:szCs w:val="24"/>
          <w:lang w:val="en-US"/>
        </w:rPr>
        <w:t>d</w:t>
      </w:r>
      <w:r w:rsidR="00544030" w:rsidRPr="0034426D">
        <w:rPr>
          <w:rFonts w:cs="AdvTT5235d5a9"/>
          <w:sz w:val="24"/>
          <w:szCs w:val="24"/>
          <w:lang w:val="en-US"/>
        </w:rPr>
        <w:t>iseases (immunothrombocytopenia [8</w:t>
      </w:r>
      <w:r w:rsidR="006B64EE">
        <w:rPr>
          <w:rFonts w:cs="AdvTT5235d5a9"/>
          <w:sz w:val="24"/>
          <w:szCs w:val="24"/>
          <w:lang w:val="en-US"/>
        </w:rPr>
        <w:t>4</w:t>
      </w:r>
      <w:r w:rsidR="00544030" w:rsidRPr="0034426D">
        <w:rPr>
          <w:rFonts w:cs="AdvTT5235d5a9"/>
          <w:sz w:val="24"/>
          <w:szCs w:val="24"/>
          <w:lang w:val="en-US"/>
        </w:rPr>
        <w:t xml:space="preserve">] </w:t>
      </w:r>
      <w:r w:rsidR="00254F47" w:rsidRPr="0034426D">
        <w:rPr>
          <w:rFonts w:cs="AdvTT5235d5a9"/>
          <w:sz w:val="24"/>
          <w:szCs w:val="24"/>
          <w:lang w:val="en-US"/>
        </w:rPr>
        <w:lastRenderedPageBreak/>
        <w:t xml:space="preserve">or autoimmune hemolytic anemia </w:t>
      </w:r>
      <w:r w:rsidR="00544030" w:rsidRPr="0034426D">
        <w:rPr>
          <w:rFonts w:cs="AdvTT5235d5a9"/>
          <w:sz w:val="24"/>
          <w:szCs w:val="24"/>
          <w:lang w:val="en-US"/>
        </w:rPr>
        <w:t>[8</w:t>
      </w:r>
      <w:r w:rsidR="006B64EE">
        <w:rPr>
          <w:rFonts w:cs="AdvTT5235d5a9"/>
          <w:sz w:val="24"/>
          <w:szCs w:val="24"/>
          <w:lang w:val="en-US"/>
        </w:rPr>
        <w:t>5</w:t>
      </w:r>
      <w:r w:rsidR="00544030" w:rsidRPr="0034426D">
        <w:rPr>
          <w:rFonts w:cs="AdvTT5235d5a9"/>
          <w:sz w:val="24"/>
          <w:szCs w:val="24"/>
          <w:lang w:val="en-US"/>
        </w:rPr>
        <w:t>]</w:t>
      </w:r>
      <w:r w:rsidR="00254F47" w:rsidRPr="0034426D">
        <w:rPr>
          <w:rFonts w:cs="AdvTT5235d5a9"/>
          <w:sz w:val="24"/>
          <w:szCs w:val="24"/>
          <w:lang w:val="en-US"/>
        </w:rPr>
        <w:t>)</w:t>
      </w:r>
      <w:r w:rsidR="009B5D3A" w:rsidRPr="0034426D">
        <w:rPr>
          <w:rFonts w:cs="AdvTT5235d5a9"/>
          <w:sz w:val="24"/>
          <w:szCs w:val="24"/>
          <w:lang w:val="en-US"/>
        </w:rPr>
        <w:t>, they are responsible for the destruction of non</w:t>
      </w:r>
      <w:r w:rsidR="00221C44" w:rsidRPr="0034426D">
        <w:rPr>
          <w:rFonts w:cs="AdvTT5235d5a9"/>
          <w:sz w:val="24"/>
          <w:szCs w:val="24"/>
          <w:lang w:val="en-US"/>
        </w:rPr>
        <w:t>-</w:t>
      </w:r>
      <w:r w:rsidR="009B5D3A" w:rsidRPr="0034426D">
        <w:rPr>
          <w:rFonts w:cs="AdvTT5235d5a9"/>
          <w:sz w:val="24"/>
          <w:szCs w:val="24"/>
          <w:lang w:val="en-US"/>
        </w:rPr>
        <w:t xml:space="preserve">autologous grafted cells or material </w:t>
      </w:r>
      <w:r w:rsidR="00544030" w:rsidRPr="0034426D">
        <w:rPr>
          <w:rFonts w:cs="AdvTT5235d5a9"/>
          <w:sz w:val="24"/>
          <w:szCs w:val="24"/>
          <w:lang w:val="en-US"/>
        </w:rPr>
        <w:t>[8</w:t>
      </w:r>
      <w:r w:rsidR="006B64EE">
        <w:rPr>
          <w:rFonts w:cs="AdvTT5235d5a9"/>
          <w:sz w:val="24"/>
          <w:szCs w:val="24"/>
          <w:lang w:val="en-US"/>
        </w:rPr>
        <w:t>6</w:t>
      </w:r>
      <w:r w:rsidR="00544030" w:rsidRPr="0034426D">
        <w:rPr>
          <w:rFonts w:cs="AdvTT5235d5a9"/>
          <w:sz w:val="24"/>
          <w:szCs w:val="24"/>
          <w:lang w:val="en-US"/>
        </w:rPr>
        <w:t xml:space="preserve">] </w:t>
      </w:r>
      <w:r w:rsidR="00254F47" w:rsidRPr="0034426D">
        <w:rPr>
          <w:rFonts w:cs="AdvTT5235d5a9"/>
          <w:sz w:val="24"/>
          <w:szCs w:val="24"/>
          <w:lang w:val="en-US"/>
        </w:rPr>
        <w:t xml:space="preserve">and play </w:t>
      </w:r>
      <w:r w:rsidR="009B5D3A" w:rsidRPr="0034426D">
        <w:rPr>
          <w:rFonts w:cs="AdvTT5235d5a9"/>
          <w:sz w:val="24"/>
          <w:szCs w:val="24"/>
          <w:lang w:val="en-US"/>
        </w:rPr>
        <w:t xml:space="preserve">also </w:t>
      </w:r>
      <w:r w:rsidR="00254F47" w:rsidRPr="0034426D">
        <w:rPr>
          <w:rFonts w:cs="AdvTT5235d5a9"/>
          <w:sz w:val="24"/>
          <w:szCs w:val="24"/>
          <w:lang w:val="en-US"/>
        </w:rPr>
        <w:t>a key role as reservoirs of pathogens with macrophag</w:t>
      </w:r>
      <w:r w:rsidR="009F155A">
        <w:rPr>
          <w:rFonts w:cs="AdvTT5235d5a9"/>
          <w:sz w:val="24"/>
          <w:szCs w:val="24"/>
          <w:lang w:val="en-US"/>
        </w:rPr>
        <w:t>e</w:t>
      </w:r>
      <w:r w:rsidR="00254F47" w:rsidRPr="0034426D">
        <w:rPr>
          <w:rFonts w:cs="AdvTT5235d5a9"/>
          <w:sz w:val="24"/>
          <w:szCs w:val="24"/>
          <w:lang w:val="en-US"/>
        </w:rPr>
        <w:t xml:space="preserve"> tropism involved in human infections (HIV-1 </w:t>
      </w:r>
      <w:r w:rsidR="00544030" w:rsidRPr="0034426D">
        <w:rPr>
          <w:rFonts w:cs="AdvTT5235d5a9"/>
          <w:sz w:val="24"/>
          <w:szCs w:val="24"/>
          <w:lang w:val="en-US"/>
        </w:rPr>
        <w:t>[8</w:t>
      </w:r>
      <w:r w:rsidR="006B64EE">
        <w:rPr>
          <w:rFonts w:cs="AdvTT5235d5a9"/>
          <w:sz w:val="24"/>
          <w:szCs w:val="24"/>
          <w:lang w:val="en-US"/>
        </w:rPr>
        <w:t>7</w:t>
      </w:r>
      <w:r w:rsidR="00544030" w:rsidRPr="0034426D">
        <w:rPr>
          <w:rFonts w:cs="AdvTT5235d5a9"/>
          <w:sz w:val="24"/>
          <w:szCs w:val="24"/>
          <w:lang w:val="en-US"/>
        </w:rPr>
        <w:t>]</w:t>
      </w:r>
      <w:r w:rsidR="00254F47" w:rsidRPr="0034426D">
        <w:rPr>
          <w:rFonts w:cs="AdvTT5235d5a9"/>
          <w:sz w:val="24"/>
          <w:szCs w:val="24"/>
          <w:lang w:val="en-US"/>
        </w:rPr>
        <w:t xml:space="preserve">, HSV-1 </w:t>
      </w:r>
      <w:r w:rsidR="00544030" w:rsidRPr="0034426D">
        <w:rPr>
          <w:rFonts w:cs="AdvTT5235d5a9"/>
          <w:sz w:val="24"/>
          <w:szCs w:val="24"/>
          <w:lang w:val="en-US"/>
        </w:rPr>
        <w:t>[</w:t>
      </w:r>
      <w:r w:rsidR="006B64EE">
        <w:rPr>
          <w:rFonts w:cs="AdvTT5235d5a9"/>
          <w:sz w:val="24"/>
          <w:szCs w:val="24"/>
          <w:lang w:val="en-US"/>
        </w:rPr>
        <w:t>88</w:t>
      </w:r>
      <w:r w:rsidR="00544030" w:rsidRPr="0034426D">
        <w:rPr>
          <w:rFonts w:cs="AdvTT5235d5a9"/>
          <w:sz w:val="24"/>
          <w:szCs w:val="24"/>
          <w:lang w:val="en-US"/>
        </w:rPr>
        <w:t>]</w:t>
      </w:r>
      <w:r w:rsidR="00254F47" w:rsidRPr="0034426D">
        <w:rPr>
          <w:rFonts w:cs="AdvTT5235d5a9"/>
          <w:sz w:val="24"/>
          <w:szCs w:val="24"/>
          <w:lang w:val="en-US"/>
        </w:rPr>
        <w:t>). Thus,</w:t>
      </w:r>
      <w:r w:rsidR="009B5D3A" w:rsidRPr="0034426D">
        <w:rPr>
          <w:rFonts w:cs="AdvTT5235d5a9"/>
          <w:sz w:val="24"/>
          <w:szCs w:val="24"/>
          <w:lang w:val="en-US"/>
        </w:rPr>
        <w:t xml:space="preserve"> for all these </w:t>
      </w:r>
      <w:r w:rsidR="00B23438" w:rsidRPr="0034426D">
        <w:rPr>
          <w:rFonts w:cs="AdvTT5235d5a9"/>
          <w:sz w:val="24"/>
          <w:szCs w:val="24"/>
          <w:lang w:val="en-US"/>
        </w:rPr>
        <w:t>pathological conditions</w:t>
      </w:r>
      <w:r w:rsidR="009B5D3A" w:rsidRPr="0034426D">
        <w:rPr>
          <w:rFonts w:cs="AdvTT5235d5a9"/>
          <w:sz w:val="24"/>
          <w:szCs w:val="24"/>
          <w:lang w:val="en-US"/>
        </w:rPr>
        <w:t xml:space="preserve">, the system based on </w:t>
      </w:r>
      <w:r w:rsidR="00B23438" w:rsidRPr="0034426D">
        <w:rPr>
          <w:rFonts w:cs="AdvTT5235d5a9"/>
          <w:sz w:val="24"/>
          <w:szCs w:val="24"/>
          <w:lang w:val="en-US"/>
        </w:rPr>
        <w:t>erythrocytes loaded with</w:t>
      </w:r>
      <w:r w:rsidR="009B5D3A" w:rsidRPr="0034426D">
        <w:rPr>
          <w:rFonts w:cs="AdvTT5235d5a9"/>
          <w:sz w:val="24"/>
          <w:szCs w:val="24"/>
          <w:lang w:val="en-US"/>
        </w:rPr>
        <w:t xml:space="preserve"> valuable molecules </w:t>
      </w:r>
      <w:r w:rsidR="00F24761" w:rsidRPr="0034426D">
        <w:rPr>
          <w:rFonts w:cs="AdvTT5235d5a9"/>
          <w:sz w:val="24"/>
          <w:szCs w:val="24"/>
          <w:lang w:val="en-US"/>
        </w:rPr>
        <w:t>has proven effective</w:t>
      </w:r>
      <w:r w:rsidR="009B5D3A" w:rsidRPr="0034426D">
        <w:rPr>
          <w:rFonts w:cs="AdvTT5235d5a9"/>
          <w:sz w:val="24"/>
          <w:szCs w:val="24"/>
          <w:lang w:val="en-US"/>
        </w:rPr>
        <w:t xml:space="preserve"> </w:t>
      </w:r>
      <w:r w:rsidR="00221C44" w:rsidRPr="0034426D">
        <w:rPr>
          <w:rFonts w:cs="AdvTT5235d5a9"/>
          <w:sz w:val="24"/>
          <w:szCs w:val="24"/>
          <w:lang w:val="en-US"/>
        </w:rPr>
        <w:t xml:space="preserve">either </w:t>
      </w:r>
      <w:r w:rsidR="009B5D3A" w:rsidRPr="0034426D">
        <w:rPr>
          <w:rFonts w:cs="AdvTT5235d5a9"/>
          <w:sz w:val="24"/>
          <w:szCs w:val="24"/>
          <w:lang w:val="en-US"/>
        </w:rPr>
        <w:t xml:space="preserve">to </w:t>
      </w:r>
      <w:r w:rsidR="00221C44" w:rsidRPr="0034426D">
        <w:rPr>
          <w:rFonts w:cs="AdvTT5235d5a9"/>
          <w:sz w:val="24"/>
          <w:szCs w:val="24"/>
          <w:lang w:val="en-US"/>
        </w:rPr>
        <w:t xml:space="preserve">directly </w:t>
      </w:r>
      <w:r w:rsidR="009B5D3A" w:rsidRPr="0034426D">
        <w:rPr>
          <w:rFonts w:cs="AdvTT5235d5a9"/>
          <w:sz w:val="24"/>
          <w:szCs w:val="24"/>
          <w:lang w:val="en-US"/>
        </w:rPr>
        <w:t xml:space="preserve">induce </w:t>
      </w:r>
      <w:r w:rsidR="00B23438" w:rsidRPr="0034426D">
        <w:rPr>
          <w:rFonts w:cs="AdvTT5235d5a9"/>
          <w:i/>
          <w:sz w:val="24"/>
          <w:szCs w:val="24"/>
          <w:lang w:val="en-US"/>
        </w:rPr>
        <w:t>in situ</w:t>
      </w:r>
      <w:r w:rsidR="00B23438" w:rsidRPr="0034426D">
        <w:rPr>
          <w:rFonts w:cs="AdvTT5235d5a9"/>
          <w:sz w:val="24"/>
          <w:szCs w:val="24"/>
          <w:lang w:val="en-US"/>
        </w:rPr>
        <w:t xml:space="preserve"> </w:t>
      </w:r>
      <w:r w:rsidR="009B5D3A" w:rsidRPr="0034426D">
        <w:rPr>
          <w:rFonts w:cs="AdvTT5235d5a9"/>
          <w:sz w:val="24"/>
          <w:szCs w:val="24"/>
          <w:lang w:val="en-US"/>
        </w:rPr>
        <w:t xml:space="preserve">inhibition of </w:t>
      </w:r>
      <w:r w:rsidR="00F24761" w:rsidRPr="0034426D">
        <w:rPr>
          <w:rFonts w:cs="AdvTT5235d5a9"/>
          <w:sz w:val="24"/>
          <w:szCs w:val="24"/>
          <w:lang w:val="en-US"/>
        </w:rPr>
        <w:t>viruses and micr</w:t>
      </w:r>
      <w:r w:rsidR="009B5D3A" w:rsidRPr="0034426D">
        <w:rPr>
          <w:rFonts w:cs="AdvTT5235d5a9"/>
          <w:sz w:val="24"/>
          <w:szCs w:val="24"/>
          <w:lang w:val="en-US"/>
        </w:rPr>
        <w:t>o</w:t>
      </w:r>
      <w:r w:rsidR="009F155A">
        <w:rPr>
          <w:rFonts w:cs="AdvTT5235d5a9"/>
          <w:sz w:val="24"/>
          <w:szCs w:val="24"/>
          <w:lang w:val="en-US"/>
        </w:rPr>
        <w:t>o</w:t>
      </w:r>
      <w:r w:rsidR="009B5D3A" w:rsidRPr="0034426D">
        <w:rPr>
          <w:rFonts w:cs="AdvTT5235d5a9"/>
          <w:sz w:val="24"/>
          <w:szCs w:val="24"/>
          <w:lang w:val="en-US"/>
        </w:rPr>
        <w:t>rganism</w:t>
      </w:r>
      <w:r w:rsidR="00F24761" w:rsidRPr="0034426D">
        <w:rPr>
          <w:rFonts w:cs="AdvTT5235d5a9"/>
          <w:sz w:val="24"/>
          <w:szCs w:val="24"/>
          <w:lang w:val="en-US"/>
        </w:rPr>
        <w:t>s</w:t>
      </w:r>
      <w:r w:rsidR="009B5D3A" w:rsidRPr="0034426D">
        <w:rPr>
          <w:rFonts w:cs="AdvTT5235d5a9"/>
          <w:sz w:val="24"/>
          <w:szCs w:val="24"/>
          <w:lang w:val="en-US"/>
        </w:rPr>
        <w:t xml:space="preserve"> replication </w:t>
      </w:r>
      <w:r w:rsidR="00F24761" w:rsidRPr="0034426D">
        <w:rPr>
          <w:rFonts w:cs="AdvTT5235d5a9"/>
          <w:sz w:val="24"/>
          <w:szCs w:val="24"/>
          <w:lang w:val="en-US"/>
        </w:rPr>
        <w:t xml:space="preserve">(like </w:t>
      </w:r>
      <w:r w:rsidR="00675E17" w:rsidRPr="0034426D">
        <w:rPr>
          <w:rFonts w:cs="AdvTT5235d5a9"/>
          <w:sz w:val="24"/>
          <w:szCs w:val="24"/>
          <w:lang w:val="en-US"/>
        </w:rPr>
        <w:t xml:space="preserve">by </w:t>
      </w:r>
      <w:r w:rsidR="007F729A" w:rsidRPr="0034426D">
        <w:rPr>
          <w:rFonts w:cs="AdvTT5235d5a9"/>
          <w:sz w:val="24"/>
          <w:szCs w:val="24"/>
          <w:lang w:val="en-US"/>
        </w:rPr>
        <w:t xml:space="preserve">loading </w:t>
      </w:r>
      <w:r w:rsidR="00221C44" w:rsidRPr="0034426D">
        <w:rPr>
          <w:rFonts w:cs="AdvTT5235d5a9"/>
          <w:sz w:val="24"/>
          <w:szCs w:val="24"/>
          <w:lang w:val="en-US"/>
        </w:rPr>
        <w:t>the</w:t>
      </w:r>
      <w:r w:rsidR="00F24761" w:rsidRPr="0034426D">
        <w:rPr>
          <w:rFonts w:cs="AdvTT5235d5a9"/>
          <w:sz w:val="24"/>
          <w:szCs w:val="24"/>
          <w:lang w:val="en-US"/>
        </w:rPr>
        <w:t xml:space="preserve"> broad family of antiviral nucleoside analogues </w:t>
      </w:r>
      <w:r w:rsidR="00544030" w:rsidRPr="0034426D">
        <w:rPr>
          <w:rFonts w:cs="AdvTT5235d5a9"/>
          <w:sz w:val="24"/>
          <w:szCs w:val="24"/>
          <w:lang w:val="en-US"/>
        </w:rPr>
        <w:t>[</w:t>
      </w:r>
      <w:r w:rsidR="00CB59D2" w:rsidRPr="0034426D">
        <w:rPr>
          <w:rFonts w:cs="AdvTT5235d5a9"/>
          <w:sz w:val="24"/>
          <w:szCs w:val="24"/>
          <w:lang w:val="en-US"/>
        </w:rPr>
        <w:t>89</w:t>
      </w:r>
      <w:r w:rsidR="006B64EE">
        <w:rPr>
          <w:rFonts w:cs="AdvTT5235d5a9"/>
          <w:sz w:val="24"/>
          <w:szCs w:val="24"/>
          <w:lang w:val="en-US"/>
        </w:rPr>
        <w:t>-93</w:t>
      </w:r>
      <w:r w:rsidR="00544030" w:rsidRPr="0034426D">
        <w:rPr>
          <w:rFonts w:cs="AdvTT5235d5a9"/>
          <w:sz w:val="24"/>
          <w:szCs w:val="24"/>
          <w:lang w:val="en-US"/>
        </w:rPr>
        <w:t>]</w:t>
      </w:r>
      <w:r w:rsidR="00F24761" w:rsidRPr="0034426D">
        <w:rPr>
          <w:rFonts w:cs="AdvTT5235d5a9"/>
          <w:sz w:val="24"/>
          <w:szCs w:val="24"/>
          <w:lang w:val="en-US"/>
        </w:rPr>
        <w:t xml:space="preserve">) </w:t>
      </w:r>
      <w:r w:rsidR="009B5D3A" w:rsidRPr="0034426D">
        <w:rPr>
          <w:rFonts w:cs="AdvTT5235d5a9"/>
          <w:sz w:val="24"/>
          <w:szCs w:val="24"/>
          <w:lang w:val="en-US"/>
        </w:rPr>
        <w:t>or to promote a specific and transient</w:t>
      </w:r>
      <w:r w:rsidR="00254F47" w:rsidRPr="0034426D">
        <w:rPr>
          <w:rFonts w:cs="AdvTT5235d5a9"/>
          <w:sz w:val="24"/>
          <w:szCs w:val="24"/>
          <w:lang w:val="en-US"/>
        </w:rPr>
        <w:t xml:space="preserve"> </w:t>
      </w:r>
      <w:r w:rsidR="00B23438" w:rsidRPr="0034426D">
        <w:rPr>
          <w:rFonts w:cs="AdvTT5235d5a9"/>
          <w:sz w:val="24"/>
          <w:szCs w:val="24"/>
          <w:lang w:val="en-US"/>
        </w:rPr>
        <w:t>suppression</w:t>
      </w:r>
      <w:r w:rsidR="00254F47" w:rsidRPr="0034426D">
        <w:rPr>
          <w:rFonts w:cs="AdvTT5235d5a9"/>
          <w:sz w:val="24"/>
          <w:szCs w:val="24"/>
          <w:lang w:val="en-US"/>
        </w:rPr>
        <w:t xml:space="preserve"> of </w:t>
      </w:r>
      <w:r w:rsidR="009B5D3A" w:rsidRPr="0034426D">
        <w:rPr>
          <w:rFonts w:cs="AdvTT5235d5a9"/>
          <w:sz w:val="24"/>
          <w:szCs w:val="24"/>
          <w:lang w:val="en-US"/>
        </w:rPr>
        <w:t>macrophage activities</w:t>
      </w:r>
      <w:r w:rsidR="00F24761" w:rsidRPr="0034426D">
        <w:rPr>
          <w:rFonts w:cs="AdvTT5235d5a9"/>
          <w:sz w:val="24"/>
          <w:szCs w:val="24"/>
          <w:lang w:val="en-US"/>
        </w:rPr>
        <w:t xml:space="preserve"> (</w:t>
      </w:r>
      <w:r w:rsidR="00EA401A" w:rsidRPr="0034426D">
        <w:rPr>
          <w:rFonts w:cs="AdvTT5235d5a9"/>
          <w:sz w:val="24"/>
          <w:szCs w:val="24"/>
          <w:lang w:val="en-US"/>
        </w:rPr>
        <w:t xml:space="preserve">like </w:t>
      </w:r>
      <w:r w:rsidR="00675E17" w:rsidRPr="0034426D">
        <w:rPr>
          <w:rFonts w:cs="AdvTT5235d5a9"/>
          <w:sz w:val="24"/>
          <w:szCs w:val="24"/>
          <w:lang w:val="en-US"/>
        </w:rPr>
        <w:t xml:space="preserve">by loading </w:t>
      </w:r>
      <w:r w:rsidR="00F24761" w:rsidRPr="0034426D">
        <w:rPr>
          <w:rFonts w:cs="AdvTT5235d5a9"/>
          <w:sz w:val="24"/>
          <w:szCs w:val="24"/>
          <w:lang w:val="en-US"/>
        </w:rPr>
        <w:t>bisphosphonates</w:t>
      </w:r>
      <w:r w:rsidR="00221C44" w:rsidRPr="0034426D">
        <w:rPr>
          <w:rFonts w:cs="AdvTT5235d5a9"/>
          <w:sz w:val="24"/>
          <w:szCs w:val="24"/>
          <w:lang w:val="en-US"/>
        </w:rPr>
        <w:t>,</w:t>
      </w:r>
      <w:r w:rsidR="00F24761" w:rsidRPr="0034426D">
        <w:rPr>
          <w:rFonts w:cs="AdvTT5235d5a9"/>
          <w:sz w:val="24"/>
          <w:szCs w:val="24"/>
          <w:lang w:val="en-US"/>
        </w:rPr>
        <w:t xml:space="preserve"> </w:t>
      </w:r>
      <w:r w:rsidR="000D021A" w:rsidRPr="0034426D">
        <w:rPr>
          <w:rFonts w:cs="AdvTT5235d5a9"/>
          <w:sz w:val="24"/>
          <w:szCs w:val="24"/>
          <w:lang w:val="en-US"/>
        </w:rPr>
        <w:t xml:space="preserve">such as </w:t>
      </w:r>
      <w:r w:rsidR="00F24761" w:rsidRPr="0034426D">
        <w:rPr>
          <w:rFonts w:cs="AdvTT5235d5a9"/>
          <w:sz w:val="24"/>
          <w:szCs w:val="24"/>
          <w:lang w:val="en-US"/>
        </w:rPr>
        <w:t xml:space="preserve">clodronate </w:t>
      </w:r>
      <w:r w:rsidR="00544030" w:rsidRPr="0034426D">
        <w:rPr>
          <w:rFonts w:cs="AdvTT5235d5a9"/>
          <w:sz w:val="24"/>
          <w:szCs w:val="24"/>
          <w:lang w:val="en-US"/>
        </w:rPr>
        <w:t>[</w:t>
      </w:r>
      <w:r w:rsidR="00CB59D2" w:rsidRPr="0034426D">
        <w:rPr>
          <w:rFonts w:cs="AdvTT5235d5a9"/>
          <w:sz w:val="24"/>
          <w:szCs w:val="24"/>
          <w:lang w:val="en-US"/>
        </w:rPr>
        <w:t>9</w:t>
      </w:r>
      <w:r w:rsidR="006B64EE">
        <w:rPr>
          <w:rFonts w:cs="AdvTT5235d5a9"/>
          <w:sz w:val="24"/>
          <w:szCs w:val="24"/>
          <w:lang w:val="en-US"/>
        </w:rPr>
        <w:t>4</w:t>
      </w:r>
      <w:r w:rsidR="00551660" w:rsidRPr="0034426D">
        <w:rPr>
          <w:rFonts w:cs="AdvTT5235d5a9"/>
          <w:sz w:val="24"/>
          <w:szCs w:val="24"/>
          <w:lang w:val="en-US"/>
        </w:rPr>
        <w:t>-9</w:t>
      </w:r>
      <w:r w:rsidR="006B64EE">
        <w:rPr>
          <w:rFonts w:cs="AdvTT5235d5a9"/>
          <w:sz w:val="24"/>
          <w:szCs w:val="24"/>
          <w:lang w:val="en-US"/>
        </w:rPr>
        <w:t>6</w:t>
      </w:r>
      <w:r w:rsidR="00544030" w:rsidRPr="0034426D">
        <w:rPr>
          <w:rFonts w:cs="AdvTT5235d5a9"/>
          <w:sz w:val="24"/>
          <w:szCs w:val="24"/>
          <w:lang w:val="en-US"/>
        </w:rPr>
        <w:t>]</w:t>
      </w:r>
      <w:r w:rsidR="00F24761" w:rsidRPr="0034426D">
        <w:rPr>
          <w:rFonts w:cs="AdvTT5235d5a9"/>
          <w:sz w:val="24"/>
          <w:szCs w:val="24"/>
          <w:lang w:val="en-US"/>
        </w:rPr>
        <w:t>)</w:t>
      </w:r>
      <w:r w:rsidR="009B5D3A" w:rsidRPr="0034426D">
        <w:rPr>
          <w:rFonts w:cs="AdvTT5235d5a9"/>
          <w:sz w:val="24"/>
          <w:szCs w:val="24"/>
          <w:lang w:val="en-US"/>
        </w:rPr>
        <w:t>.</w:t>
      </w:r>
    </w:p>
    <w:p w14:paraId="1B999A34" w14:textId="77777777" w:rsidR="006B64EE" w:rsidRPr="0034426D" w:rsidRDefault="006B64EE" w:rsidP="00341D07">
      <w:pPr>
        <w:autoSpaceDE w:val="0"/>
        <w:autoSpaceDN w:val="0"/>
        <w:adjustRightInd w:val="0"/>
        <w:spacing w:after="0" w:line="360" w:lineRule="auto"/>
        <w:jc w:val="both"/>
        <w:rPr>
          <w:rFonts w:cs="AdvTT5235d5a9"/>
          <w:sz w:val="24"/>
          <w:szCs w:val="24"/>
          <w:lang w:val="en-US"/>
        </w:rPr>
      </w:pPr>
    </w:p>
    <w:p w14:paraId="6EBD8186" w14:textId="77777777" w:rsidR="00275BC5" w:rsidRPr="0034426D" w:rsidRDefault="00275BC5" w:rsidP="00A313BB">
      <w:pPr>
        <w:spacing w:after="0" w:line="360" w:lineRule="auto"/>
        <w:rPr>
          <w:sz w:val="24"/>
          <w:szCs w:val="24"/>
          <w:lang w:val="en-US"/>
        </w:rPr>
      </w:pPr>
      <w:r w:rsidRPr="007106A3">
        <w:rPr>
          <w:b/>
          <w:sz w:val="24"/>
          <w:szCs w:val="24"/>
          <w:shd w:val="clear" w:color="auto" w:fill="FFFFFF"/>
          <w:lang w:val="en-US"/>
        </w:rPr>
        <w:t>2.</w:t>
      </w:r>
      <w:r w:rsidR="00954F83" w:rsidRPr="007106A3">
        <w:rPr>
          <w:b/>
          <w:sz w:val="24"/>
          <w:szCs w:val="24"/>
          <w:shd w:val="clear" w:color="auto" w:fill="FFFFFF"/>
          <w:lang w:val="en-US"/>
        </w:rPr>
        <w:t>2</w:t>
      </w:r>
      <w:r w:rsidRPr="007106A3">
        <w:rPr>
          <w:b/>
          <w:sz w:val="24"/>
          <w:szCs w:val="24"/>
          <w:shd w:val="clear" w:color="auto" w:fill="FFFFFF"/>
          <w:lang w:val="en-US"/>
        </w:rPr>
        <w:t xml:space="preserve"> </w:t>
      </w:r>
      <w:r w:rsidR="00551660" w:rsidRPr="007106A3">
        <w:rPr>
          <w:b/>
          <w:sz w:val="24"/>
          <w:szCs w:val="24"/>
          <w:shd w:val="clear" w:color="auto" w:fill="FFFFFF"/>
          <w:lang w:val="en-US"/>
        </w:rPr>
        <w:t>Glucocorticoid analogues</w:t>
      </w:r>
    </w:p>
    <w:p w14:paraId="771EDA34" w14:textId="77777777" w:rsidR="00275BC5" w:rsidRPr="0034426D" w:rsidRDefault="00275BC5" w:rsidP="00341D07">
      <w:pPr>
        <w:spacing w:after="0" w:line="360" w:lineRule="auto"/>
        <w:jc w:val="both"/>
        <w:rPr>
          <w:sz w:val="24"/>
          <w:szCs w:val="24"/>
          <w:lang w:val="en-US"/>
        </w:rPr>
      </w:pPr>
      <w:r w:rsidRPr="0034426D">
        <w:rPr>
          <w:sz w:val="24"/>
          <w:szCs w:val="24"/>
          <w:lang w:val="en-US"/>
        </w:rPr>
        <w:t>Glucocorticoids (GC</w:t>
      </w:r>
      <w:r w:rsidR="0042433E" w:rsidRPr="0034426D">
        <w:rPr>
          <w:sz w:val="24"/>
          <w:szCs w:val="24"/>
          <w:lang w:val="en-US"/>
        </w:rPr>
        <w:t>s</w:t>
      </w:r>
      <w:r w:rsidRPr="0034426D">
        <w:rPr>
          <w:sz w:val="24"/>
          <w:szCs w:val="24"/>
          <w:lang w:val="en-US"/>
        </w:rPr>
        <w:t>) are natural and synthetic analogues of the hormones secreted by the hypothalamic–anterior pituitary–adrenocortical (HPA) axis</w:t>
      </w:r>
      <w:r w:rsidR="00BF7F32" w:rsidRPr="0034426D">
        <w:rPr>
          <w:sz w:val="24"/>
          <w:szCs w:val="24"/>
          <w:lang w:val="en-US"/>
        </w:rPr>
        <w:t>,</w:t>
      </w:r>
      <w:r w:rsidRPr="0034426D">
        <w:rPr>
          <w:sz w:val="24"/>
          <w:szCs w:val="24"/>
          <w:lang w:val="en-US"/>
        </w:rPr>
        <w:t xml:space="preserve"> which have anti-inflammatory activity and </w:t>
      </w:r>
      <w:r w:rsidRPr="0034426D">
        <w:rPr>
          <w:rFonts w:cs="Arial"/>
          <w:sz w:val="24"/>
          <w:szCs w:val="24"/>
          <w:shd w:val="clear" w:color="auto" w:fill="FFFFFF"/>
          <w:lang w:val="en-US"/>
        </w:rPr>
        <w:t>have been extensively used to treat various acute and severe inflammatory, immunological and allergic diseases</w:t>
      </w:r>
      <w:r w:rsidRPr="0034426D">
        <w:rPr>
          <w:sz w:val="24"/>
          <w:szCs w:val="24"/>
          <w:lang w:val="en-US"/>
        </w:rPr>
        <w:t xml:space="preserve"> </w:t>
      </w:r>
      <w:r w:rsidR="00551660" w:rsidRPr="0034426D">
        <w:rPr>
          <w:sz w:val="24"/>
          <w:szCs w:val="24"/>
          <w:lang w:val="en-US"/>
        </w:rPr>
        <w:t>[9</w:t>
      </w:r>
      <w:r w:rsidR="006B64EE">
        <w:rPr>
          <w:sz w:val="24"/>
          <w:szCs w:val="24"/>
          <w:lang w:val="en-US"/>
        </w:rPr>
        <w:t>7</w:t>
      </w:r>
      <w:r w:rsidR="004C759F" w:rsidRPr="0034426D">
        <w:rPr>
          <w:sz w:val="24"/>
          <w:szCs w:val="24"/>
          <w:lang w:val="en-US"/>
        </w:rPr>
        <w:t>]</w:t>
      </w:r>
      <w:r w:rsidRPr="0034426D">
        <w:rPr>
          <w:sz w:val="24"/>
          <w:szCs w:val="24"/>
          <w:lang w:val="en-US"/>
        </w:rPr>
        <w:t>. Among GC</w:t>
      </w:r>
      <w:r w:rsidR="00BF7F32" w:rsidRPr="0034426D">
        <w:rPr>
          <w:sz w:val="24"/>
          <w:szCs w:val="24"/>
          <w:lang w:val="en-US"/>
        </w:rPr>
        <w:t>s,</w:t>
      </w:r>
      <w:r w:rsidR="00423DCB" w:rsidRPr="0034426D">
        <w:rPr>
          <w:sz w:val="24"/>
          <w:szCs w:val="24"/>
          <w:lang w:val="en-US"/>
        </w:rPr>
        <w:t xml:space="preserve"> d</w:t>
      </w:r>
      <w:r w:rsidRPr="0034426D">
        <w:rPr>
          <w:sz w:val="24"/>
          <w:szCs w:val="24"/>
          <w:lang w:val="en-US"/>
        </w:rPr>
        <w:t>examethasone (Dexa) is a highly potent and long-acting gluco</w:t>
      </w:r>
      <w:r w:rsidR="00341D07" w:rsidRPr="0034426D">
        <w:rPr>
          <w:sz w:val="24"/>
          <w:szCs w:val="24"/>
          <w:lang w:val="en-US"/>
        </w:rPr>
        <w:t>co</w:t>
      </w:r>
      <w:r w:rsidRPr="0034426D">
        <w:rPr>
          <w:sz w:val="24"/>
          <w:szCs w:val="24"/>
          <w:lang w:val="en-US"/>
        </w:rPr>
        <w:t xml:space="preserve">rticoid used for </w:t>
      </w:r>
      <w:r w:rsidR="002122CF" w:rsidRPr="0034426D">
        <w:rPr>
          <w:sz w:val="24"/>
          <w:szCs w:val="24"/>
          <w:lang w:val="en-US"/>
        </w:rPr>
        <w:t xml:space="preserve">more </w:t>
      </w:r>
      <w:r w:rsidRPr="0034426D">
        <w:rPr>
          <w:sz w:val="24"/>
          <w:szCs w:val="24"/>
          <w:lang w:val="en-US"/>
        </w:rPr>
        <w:t xml:space="preserve">than 40 years in children, adolescents and adults with predominantly very great systemic GC activity and minimal or absent mineralocorticoid effects </w:t>
      </w:r>
      <w:r w:rsidR="00551660" w:rsidRPr="0034426D">
        <w:rPr>
          <w:sz w:val="24"/>
          <w:szCs w:val="24"/>
          <w:lang w:val="en-US"/>
        </w:rPr>
        <w:t>[9</w:t>
      </w:r>
      <w:r w:rsidR="006B64EE">
        <w:rPr>
          <w:sz w:val="24"/>
          <w:szCs w:val="24"/>
          <w:lang w:val="en-US"/>
        </w:rPr>
        <w:t>8</w:t>
      </w:r>
      <w:r w:rsidR="004C759F" w:rsidRPr="0034426D">
        <w:rPr>
          <w:sz w:val="24"/>
          <w:szCs w:val="24"/>
          <w:lang w:val="en-US"/>
        </w:rPr>
        <w:t>]</w:t>
      </w:r>
      <w:r w:rsidRPr="0034426D">
        <w:rPr>
          <w:sz w:val="24"/>
          <w:szCs w:val="24"/>
          <w:lang w:val="en-US"/>
        </w:rPr>
        <w:t xml:space="preserve">. </w:t>
      </w:r>
      <w:r w:rsidRPr="0034426D">
        <w:rPr>
          <w:rFonts w:cs="Arial"/>
          <w:sz w:val="24"/>
          <w:szCs w:val="24"/>
          <w:shd w:val="clear" w:color="auto" w:fill="FFFFFF"/>
          <w:lang w:val="en-US"/>
        </w:rPr>
        <w:t>This steroid is</w:t>
      </w:r>
      <w:r w:rsidR="00A62874" w:rsidRPr="0034426D">
        <w:rPr>
          <w:rFonts w:cs="Arial"/>
          <w:sz w:val="24"/>
          <w:szCs w:val="24"/>
          <w:shd w:val="clear" w:color="auto" w:fill="FFFFFF"/>
          <w:lang w:val="en-US"/>
        </w:rPr>
        <w:t xml:space="preserve"> </w:t>
      </w:r>
      <w:r w:rsidR="00BF7F32" w:rsidRPr="0034426D">
        <w:rPr>
          <w:rFonts w:cs="Arial"/>
          <w:sz w:val="24"/>
          <w:szCs w:val="24"/>
          <w:shd w:val="clear" w:color="auto" w:fill="FFFFFF"/>
          <w:lang w:val="en-US"/>
        </w:rPr>
        <w:t xml:space="preserve">employed </w:t>
      </w:r>
      <w:r w:rsidRPr="0034426D">
        <w:rPr>
          <w:rFonts w:cs="Arial"/>
          <w:sz w:val="24"/>
          <w:szCs w:val="24"/>
          <w:shd w:val="clear" w:color="auto" w:fill="FFFFFF"/>
          <w:lang w:val="en-US"/>
        </w:rPr>
        <w:t>primarily in short courses as rescue therapy for acute exacerbations, with chronic use reserved for those with sever</w:t>
      </w:r>
      <w:r w:rsidR="00BF7F32" w:rsidRPr="0034426D">
        <w:rPr>
          <w:rFonts w:cs="Arial"/>
          <w:sz w:val="24"/>
          <w:szCs w:val="24"/>
          <w:shd w:val="clear" w:color="auto" w:fill="FFFFFF"/>
          <w:lang w:val="en-US"/>
        </w:rPr>
        <w:t>e</w:t>
      </w:r>
      <w:r w:rsidRPr="0034426D">
        <w:rPr>
          <w:rFonts w:cs="Arial"/>
          <w:sz w:val="24"/>
          <w:szCs w:val="24"/>
          <w:shd w:val="clear" w:color="auto" w:fill="FFFFFF"/>
          <w:lang w:val="en-US"/>
        </w:rPr>
        <w:t xml:space="preserve"> diseases not adequately controlled by other medications. </w:t>
      </w:r>
      <w:r w:rsidRPr="0034426D">
        <w:rPr>
          <w:sz w:val="24"/>
          <w:szCs w:val="24"/>
          <w:lang w:val="en-US"/>
        </w:rPr>
        <w:t>However, its terminal half-life of 3.5-4.5 hours makes frequent administrations and high dosages necessary</w:t>
      </w:r>
      <w:r w:rsidR="00BF7F32" w:rsidRPr="0034426D">
        <w:rPr>
          <w:sz w:val="24"/>
          <w:szCs w:val="24"/>
          <w:lang w:val="en-US"/>
        </w:rPr>
        <w:t>,</w:t>
      </w:r>
      <w:r w:rsidRPr="0034426D">
        <w:rPr>
          <w:sz w:val="24"/>
          <w:szCs w:val="24"/>
          <w:lang w:val="en-US"/>
        </w:rPr>
        <w:t xml:space="preserve"> causing a dangerous peak in plasma concentration </w:t>
      </w:r>
      <w:r w:rsidR="00BF7F32" w:rsidRPr="0034426D">
        <w:rPr>
          <w:sz w:val="24"/>
          <w:szCs w:val="24"/>
          <w:lang w:val="en-US"/>
        </w:rPr>
        <w:t xml:space="preserve">eventually </w:t>
      </w:r>
      <w:r w:rsidRPr="0034426D">
        <w:rPr>
          <w:sz w:val="24"/>
          <w:szCs w:val="24"/>
          <w:lang w:val="en-US"/>
        </w:rPr>
        <w:t xml:space="preserve">leading to toxic side effects </w:t>
      </w:r>
      <w:r w:rsidR="00551660" w:rsidRPr="0034426D">
        <w:rPr>
          <w:sz w:val="24"/>
          <w:szCs w:val="24"/>
          <w:lang w:val="en-US"/>
        </w:rPr>
        <w:t>[9</w:t>
      </w:r>
      <w:r w:rsidR="006B64EE">
        <w:rPr>
          <w:sz w:val="24"/>
          <w:szCs w:val="24"/>
          <w:lang w:val="en-US"/>
        </w:rPr>
        <w:t>9</w:t>
      </w:r>
      <w:r w:rsidR="004C759F" w:rsidRPr="0034426D">
        <w:rPr>
          <w:sz w:val="24"/>
          <w:szCs w:val="24"/>
          <w:lang w:val="en-US"/>
        </w:rPr>
        <w:t>]</w:t>
      </w:r>
      <w:r w:rsidRPr="0034426D">
        <w:rPr>
          <w:sz w:val="24"/>
          <w:szCs w:val="24"/>
          <w:lang w:val="en-US"/>
        </w:rPr>
        <w:t xml:space="preserve">, especially in long-term therapy. </w:t>
      </w:r>
      <w:r w:rsidRPr="0034426D">
        <w:rPr>
          <w:rFonts w:cs="Arial"/>
          <w:sz w:val="24"/>
          <w:szCs w:val="24"/>
          <w:shd w:val="clear" w:color="auto" w:fill="FFFFFF"/>
          <w:lang w:val="en-US"/>
        </w:rPr>
        <w:t xml:space="preserve">Therefore, prolonged treatments by systemic </w:t>
      </w:r>
      <w:r w:rsidR="0042433E" w:rsidRPr="0034426D">
        <w:rPr>
          <w:rFonts w:cs="Arial"/>
          <w:sz w:val="24"/>
          <w:szCs w:val="24"/>
          <w:shd w:val="clear" w:color="auto" w:fill="FFFFFF"/>
          <w:lang w:val="en-US"/>
        </w:rPr>
        <w:t>GCs</w:t>
      </w:r>
      <w:r w:rsidRPr="0034426D">
        <w:rPr>
          <w:rFonts w:cs="Arial"/>
          <w:sz w:val="24"/>
          <w:szCs w:val="24"/>
          <w:shd w:val="clear" w:color="auto" w:fill="FFFFFF"/>
          <w:lang w:val="en-US"/>
        </w:rPr>
        <w:t xml:space="preserve"> are associated with unacceptable adverse effects that </w:t>
      </w:r>
      <w:r w:rsidR="00BF7F32" w:rsidRPr="0034426D">
        <w:rPr>
          <w:rFonts w:cs="Arial"/>
          <w:sz w:val="24"/>
          <w:szCs w:val="24"/>
          <w:shd w:val="clear" w:color="auto" w:fill="FFFFFF"/>
          <w:lang w:val="en-US"/>
        </w:rPr>
        <w:t xml:space="preserve">are </w:t>
      </w:r>
      <w:r w:rsidRPr="0034426D">
        <w:rPr>
          <w:rFonts w:cs="Arial"/>
          <w:sz w:val="24"/>
          <w:szCs w:val="24"/>
          <w:shd w:val="clear" w:color="auto" w:fill="FFFFFF"/>
          <w:lang w:val="en-US"/>
        </w:rPr>
        <w:t xml:space="preserve">widely </w:t>
      </w:r>
      <w:r w:rsidR="00BF7F32" w:rsidRPr="0034426D">
        <w:rPr>
          <w:rFonts w:cs="Arial"/>
          <w:sz w:val="24"/>
          <w:szCs w:val="24"/>
          <w:shd w:val="clear" w:color="auto" w:fill="FFFFFF"/>
          <w:lang w:val="en-US"/>
        </w:rPr>
        <w:t>known to</w:t>
      </w:r>
      <w:r w:rsidRPr="0034426D">
        <w:rPr>
          <w:rFonts w:cs="Arial"/>
          <w:sz w:val="24"/>
          <w:szCs w:val="24"/>
          <w:shd w:val="clear" w:color="auto" w:fill="FFFFFF"/>
          <w:lang w:val="en-US"/>
        </w:rPr>
        <w:t xml:space="preserve"> occur in both a dose-dependent and duration</w:t>
      </w:r>
      <w:r w:rsidR="00BF7F32" w:rsidRPr="0034426D">
        <w:rPr>
          <w:rFonts w:cs="Arial"/>
          <w:sz w:val="24"/>
          <w:szCs w:val="24"/>
          <w:shd w:val="clear" w:color="auto" w:fill="FFFFFF"/>
          <w:lang w:val="en-US"/>
        </w:rPr>
        <w:t>–</w:t>
      </w:r>
      <w:r w:rsidRPr="0034426D">
        <w:rPr>
          <w:rFonts w:cs="Arial"/>
          <w:sz w:val="24"/>
          <w:szCs w:val="24"/>
          <w:shd w:val="clear" w:color="auto" w:fill="FFFFFF"/>
          <w:lang w:val="en-US"/>
        </w:rPr>
        <w:t>of</w:t>
      </w:r>
      <w:r w:rsidR="00BF7F32" w:rsidRPr="0034426D">
        <w:rPr>
          <w:rFonts w:cs="Arial"/>
          <w:sz w:val="24"/>
          <w:szCs w:val="24"/>
          <w:shd w:val="clear" w:color="auto" w:fill="FFFFFF"/>
          <w:lang w:val="en-US"/>
        </w:rPr>
        <w:t>-</w:t>
      </w:r>
      <w:r w:rsidRPr="0034426D">
        <w:rPr>
          <w:rFonts w:cs="Arial"/>
          <w:sz w:val="24"/>
          <w:szCs w:val="24"/>
          <w:shd w:val="clear" w:color="auto" w:fill="FFFFFF"/>
          <w:lang w:val="en-US"/>
        </w:rPr>
        <w:t>treatment manner. Side effects of GC</w:t>
      </w:r>
      <w:r w:rsidR="00BF7F32" w:rsidRPr="0034426D">
        <w:rPr>
          <w:rFonts w:cs="Arial"/>
          <w:sz w:val="24"/>
          <w:szCs w:val="24"/>
          <w:shd w:val="clear" w:color="auto" w:fill="FFFFFF"/>
          <w:lang w:val="en-US"/>
        </w:rPr>
        <w:t>s</w:t>
      </w:r>
      <w:r w:rsidRPr="0034426D">
        <w:rPr>
          <w:rFonts w:cs="Arial"/>
          <w:sz w:val="24"/>
          <w:szCs w:val="24"/>
          <w:shd w:val="clear" w:color="auto" w:fill="FFFFFF"/>
          <w:lang w:val="en-US"/>
        </w:rPr>
        <w:t xml:space="preserve"> </w:t>
      </w:r>
      <w:r w:rsidR="00A66944" w:rsidRPr="0034426D">
        <w:rPr>
          <w:rFonts w:cs="Arial"/>
          <w:sz w:val="24"/>
          <w:szCs w:val="24"/>
          <w:shd w:val="clear" w:color="auto" w:fill="FFFFFF"/>
          <w:lang w:val="en-US"/>
        </w:rPr>
        <w:t xml:space="preserve">can relate endocrine/metabolic, </w:t>
      </w:r>
      <w:r w:rsidRPr="0034426D">
        <w:rPr>
          <w:rFonts w:cs="Arial"/>
          <w:sz w:val="24"/>
          <w:szCs w:val="24"/>
          <w:shd w:val="clear" w:color="auto" w:fill="FFFFFF"/>
          <w:lang w:val="en-US"/>
        </w:rPr>
        <w:t>cardiovascular, gastrointestinal, ophthalmic, musculoskeletal, immune function</w:t>
      </w:r>
      <w:r w:rsidR="00BF7F32" w:rsidRPr="0034426D">
        <w:rPr>
          <w:rFonts w:cs="Arial"/>
          <w:sz w:val="24"/>
          <w:szCs w:val="24"/>
          <w:shd w:val="clear" w:color="auto" w:fill="FFFFFF"/>
          <w:lang w:val="en-US"/>
        </w:rPr>
        <w:t>s</w:t>
      </w:r>
      <w:r w:rsidRPr="0034426D">
        <w:rPr>
          <w:rFonts w:cs="Arial"/>
          <w:sz w:val="24"/>
          <w:szCs w:val="24"/>
          <w:shd w:val="clear" w:color="auto" w:fill="FFFFFF"/>
          <w:lang w:val="en-US"/>
        </w:rPr>
        <w:t xml:space="preserve"> and neuropsychiatric events.</w:t>
      </w:r>
    </w:p>
    <w:p w14:paraId="75A5E5B6" w14:textId="77777777" w:rsidR="00275BC5" w:rsidRPr="0034426D" w:rsidRDefault="00BF7F32" w:rsidP="00341D07">
      <w:pPr>
        <w:spacing w:after="0" w:line="360" w:lineRule="auto"/>
        <w:jc w:val="both"/>
        <w:rPr>
          <w:rFonts w:cs="Arial"/>
          <w:sz w:val="24"/>
          <w:szCs w:val="24"/>
          <w:shd w:val="clear" w:color="auto" w:fill="FFFFFF"/>
          <w:lang w:val="en-US"/>
        </w:rPr>
      </w:pPr>
      <w:r w:rsidRPr="0034426D">
        <w:rPr>
          <w:rFonts w:cs="Arial"/>
          <w:sz w:val="24"/>
          <w:szCs w:val="24"/>
          <w:shd w:val="clear" w:color="auto" w:fill="FFFFFF"/>
          <w:lang w:val="en-US"/>
        </w:rPr>
        <w:t xml:space="preserve">Hence, </w:t>
      </w:r>
      <w:r w:rsidR="00275BC5" w:rsidRPr="0034426D">
        <w:rPr>
          <w:rFonts w:cs="Arial"/>
          <w:sz w:val="24"/>
          <w:szCs w:val="24"/>
          <w:shd w:val="clear" w:color="auto" w:fill="FFFFFF"/>
          <w:lang w:val="en-US"/>
        </w:rPr>
        <w:t xml:space="preserve">it is understandable the importance of a drug delivery system able to modify the pharmacokinetics of </w:t>
      </w:r>
      <w:r w:rsidR="00423DCB" w:rsidRPr="0034426D">
        <w:rPr>
          <w:rFonts w:cs="Arial"/>
          <w:sz w:val="24"/>
          <w:szCs w:val="24"/>
          <w:shd w:val="clear" w:color="auto" w:fill="FFFFFF"/>
          <w:lang w:val="en-US"/>
        </w:rPr>
        <w:t>Dexa</w:t>
      </w:r>
      <w:r w:rsidR="00275BC5" w:rsidRPr="0034426D">
        <w:rPr>
          <w:rFonts w:cs="Arial"/>
          <w:sz w:val="24"/>
          <w:szCs w:val="24"/>
          <w:shd w:val="clear" w:color="auto" w:fill="FFFFFF"/>
          <w:lang w:val="en-US"/>
        </w:rPr>
        <w:t xml:space="preserve"> so as to obtain a constant and effective drug concentration in</w:t>
      </w:r>
      <w:r w:rsidR="00D76D6C" w:rsidRPr="0034426D">
        <w:rPr>
          <w:rFonts w:cs="Arial"/>
          <w:sz w:val="24"/>
          <w:szCs w:val="24"/>
          <w:shd w:val="clear" w:color="auto" w:fill="FFFFFF"/>
          <w:lang w:val="en-US"/>
        </w:rPr>
        <w:t xml:space="preserve"> </w:t>
      </w:r>
      <w:r w:rsidR="00275BC5" w:rsidRPr="0034426D">
        <w:rPr>
          <w:rFonts w:cs="Arial"/>
          <w:sz w:val="24"/>
          <w:szCs w:val="24"/>
          <w:shd w:val="clear" w:color="auto" w:fill="FFFFFF"/>
          <w:lang w:val="en-US"/>
        </w:rPr>
        <w:t>circulation while avoiding the continuous oscillations</w:t>
      </w:r>
      <w:r w:rsidR="00D76D6C" w:rsidRPr="0034426D">
        <w:rPr>
          <w:rFonts w:cs="Arial"/>
          <w:sz w:val="24"/>
          <w:szCs w:val="24"/>
          <w:shd w:val="clear" w:color="auto" w:fill="FFFFFF"/>
          <w:lang w:val="en-US"/>
        </w:rPr>
        <w:t xml:space="preserve"> </w:t>
      </w:r>
      <w:r w:rsidR="00275BC5" w:rsidRPr="0034426D">
        <w:rPr>
          <w:rFonts w:cs="Arial"/>
          <w:sz w:val="24"/>
          <w:szCs w:val="24"/>
          <w:shd w:val="clear" w:color="auto" w:fill="FFFFFF"/>
          <w:lang w:val="en-US"/>
        </w:rPr>
        <w:t>above and below the therapeutic window responsible for the toxic effects and short duration of efficacy.</w:t>
      </w:r>
    </w:p>
    <w:p w14:paraId="786A7BD0" w14:textId="77777777" w:rsidR="00275BC5" w:rsidRPr="0034426D" w:rsidRDefault="00275BC5" w:rsidP="00341D07">
      <w:pPr>
        <w:autoSpaceDE w:val="0"/>
        <w:autoSpaceDN w:val="0"/>
        <w:adjustRightInd w:val="0"/>
        <w:spacing w:after="0" w:line="360" w:lineRule="auto"/>
        <w:jc w:val="both"/>
        <w:rPr>
          <w:rFonts w:cs="Arial"/>
          <w:sz w:val="24"/>
          <w:szCs w:val="24"/>
          <w:shd w:val="clear" w:color="auto" w:fill="FFFFFF"/>
          <w:lang w:val="en-US"/>
        </w:rPr>
      </w:pPr>
      <w:r w:rsidRPr="0034426D">
        <w:rPr>
          <w:rFonts w:cs="Arial"/>
          <w:sz w:val="24"/>
          <w:szCs w:val="24"/>
          <w:shd w:val="clear" w:color="auto" w:fill="FFFFFF"/>
          <w:lang w:val="en-US"/>
        </w:rPr>
        <w:t xml:space="preserve">To this end, </w:t>
      </w:r>
      <w:r w:rsidR="006B3DFE" w:rsidRPr="0034426D">
        <w:rPr>
          <w:rFonts w:cs="Arial"/>
          <w:sz w:val="24"/>
          <w:szCs w:val="24"/>
          <w:shd w:val="clear" w:color="auto" w:fill="FFFFFF"/>
          <w:lang w:val="en-US"/>
        </w:rPr>
        <w:t>RBC</w:t>
      </w:r>
      <w:r w:rsidRPr="0034426D">
        <w:rPr>
          <w:rFonts w:cs="Arial"/>
          <w:sz w:val="24"/>
          <w:szCs w:val="24"/>
          <w:shd w:val="clear" w:color="auto" w:fill="FFFFFF"/>
          <w:lang w:val="en-US"/>
        </w:rPr>
        <w:t xml:space="preserve">s engineered to act as bioreactors for a controlled and sustained release of </w:t>
      </w:r>
      <w:r w:rsidR="00423DCB" w:rsidRPr="0034426D">
        <w:rPr>
          <w:rFonts w:cs="Arial"/>
          <w:sz w:val="24"/>
          <w:szCs w:val="24"/>
          <w:shd w:val="clear" w:color="auto" w:fill="FFFFFF"/>
          <w:lang w:val="en-US"/>
        </w:rPr>
        <w:t>Dexa</w:t>
      </w:r>
      <w:r w:rsidR="006B3DFE" w:rsidRPr="0034426D">
        <w:rPr>
          <w:rFonts w:cs="Arial"/>
          <w:sz w:val="24"/>
          <w:szCs w:val="24"/>
          <w:shd w:val="clear" w:color="auto" w:fill="FFFFFF"/>
          <w:lang w:val="en-US"/>
        </w:rPr>
        <w:t xml:space="preserve"> in blood</w:t>
      </w:r>
      <w:r w:rsidRPr="0034426D">
        <w:rPr>
          <w:rFonts w:cs="Arial"/>
          <w:sz w:val="24"/>
          <w:szCs w:val="24"/>
          <w:shd w:val="clear" w:color="auto" w:fill="FFFFFF"/>
          <w:lang w:val="en-US"/>
        </w:rPr>
        <w:t>stream proved able to reduce the</w:t>
      </w:r>
      <w:r w:rsidRPr="0034426D">
        <w:rPr>
          <w:sz w:val="24"/>
          <w:szCs w:val="24"/>
          <w:lang w:val="en-US"/>
        </w:rPr>
        <w:t xml:space="preserve"> </w:t>
      </w:r>
      <w:r w:rsidRPr="0034426D">
        <w:rPr>
          <w:rFonts w:cs="Arial"/>
          <w:sz w:val="24"/>
          <w:szCs w:val="24"/>
          <w:shd w:val="clear" w:color="auto" w:fill="FFFFFF"/>
          <w:lang w:val="en-US"/>
        </w:rPr>
        <w:t xml:space="preserve">systemic toxicity of the drug simultaneously </w:t>
      </w:r>
      <w:r w:rsidR="00BF7F32" w:rsidRPr="0034426D">
        <w:rPr>
          <w:rFonts w:cs="Arial"/>
          <w:sz w:val="24"/>
          <w:szCs w:val="24"/>
          <w:shd w:val="clear" w:color="auto" w:fill="FFFFFF"/>
          <w:lang w:val="en-US"/>
        </w:rPr>
        <w:t xml:space="preserve">allowing the </w:t>
      </w:r>
      <w:r w:rsidRPr="0034426D">
        <w:rPr>
          <w:rFonts w:cs="Arial"/>
          <w:sz w:val="24"/>
          <w:szCs w:val="24"/>
          <w:shd w:val="clear" w:color="auto" w:fill="FFFFFF"/>
          <w:lang w:val="en-US"/>
        </w:rPr>
        <w:t>achieve</w:t>
      </w:r>
      <w:r w:rsidR="00BF7F32" w:rsidRPr="0034426D">
        <w:rPr>
          <w:rFonts w:cs="Arial"/>
          <w:sz w:val="24"/>
          <w:szCs w:val="24"/>
          <w:shd w:val="clear" w:color="auto" w:fill="FFFFFF"/>
          <w:lang w:val="en-US"/>
        </w:rPr>
        <w:t>ment of</w:t>
      </w:r>
      <w:r w:rsidRPr="0034426D">
        <w:rPr>
          <w:rFonts w:cs="Arial"/>
          <w:sz w:val="24"/>
          <w:szCs w:val="24"/>
          <w:shd w:val="clear" w:color="auto" w:fill="FFFFFF"/>
          <w:lang w:val="en-US"/>
        </w:rPr>
        <w:t xml:space="preserve"> significant clinical results in the treatment of chronic inflammatory diseases and</w:t>
      </w:r>
      <w:r w:rsidR="00BF7F32" w:rsidRPr="0034426D">
        <w:rPr>
          <w:rFonts w:cs="Arial"/>
          <w:sz w:val="24"/>
          <w:szCs w:val="24"/>
          <w:shd w:val="clear" w:color="auto" w:fill="FFFFFF"/>
          <w:lang w:val="en-US"/>
        </w:rPr>
        <w:t xml:space="preserve"> the</w:t>
      </w:r>
      <w:r w:rsidRPr="0034426D">
        <w:rPr>
          <w:rFonts w:cs="Arial"/>
          <w:sz w:val="24"/>
          <w:szCs w:val="24"/>
          <w:shd w:val="clear" w:color="auto" w:fill="FFFFFF"/>
          <w:lang w:val="en-US"/>
        </w:rPr>
        <w:t xml:space="preserve"> improve</w:t>
      </w:r>
      <w:r w:rsidR="00BF7F32" w:rsidRPr="0034426D">
        <w:rPr>
          <w:rFonts w:cs="Arial"/>
          <w:sz w:val="24"/>
          <w:szCs w:val="24"/>
          <w:shd w:val="clear" w:color="auto" w:fill="FFFFFF"/>
          <w:lang w:val="en-US"/>
        </w:rPr>
        <w:t>ment of</w:t>
      </w:r>
      <w:r w:rsidRPr="0034426D">
        <w:rPr>
          <w:rFonts w:cs="Arial"/>
          <w:sz w:val="24"/>
          <w:szCs w:val="24"/>
          <w:shd w:val="clear" w:color="auto" w:fill="FFFFFF"/>
          <w:lang w:val="en-US"/>
        </w:rPr>
        <w:t xml:space="preserve"> therapeutic outcomes </w:t>
      </w:r>
      <w:r w:rsidR="0055275F" w:rsidRPr="0034426D">
        <w:rPr>
          <w:rFonts w:cs="Arial"/>
          <w:sz w:val="24"/>
          <w:szCs w:val="24"/>
          <w:shd w:val="clear" w:color="auto" w:fill="FFFFFF"/>
          <w:lang w:val="en-US"/>
        </w:rPr>
        <w:t>[</w:t>
      </w:r>
      <w:r w:rsidR="006B64EE">
        <w:rPr>
          <w:rFonts w:cs="Arial"/>
          <w:sz w:val="24"/>
          <w:szCs w:val="24"/>
          <w:shd w:val="clear" w:color="auto" w:fill="FFFFFF"/>
          <w:lang w:val="en-US"/>
        </w:rPr>
        <w:t>100-10</w:t>
      </w:r>
      <w:r w:rsidR="002F4765">
        <w:rPr>
          <w:rFonts w:cs="Arial"/>
          <w:sz w:val="24"/>
          <w:szCs w:val="24"/>
          <w:shd w:val="clear" w:color="auto" w:fill="FFFFFF"/>
          <w:lang w:val="en-US"/>
        </w:rPr>
        <w:t>5</w:t>
      </w:r>
      <w:r w:rsidR="004370D7" w:rsidRPr="0034426D">
        <w:rPr>
          <w:rFonts w:cs="Arial"/>
          <w:sz w:val="24"/>
          <w:szCs w:val="24"/>
          <w:shd w:val="clear" w:color="auto" w:fill="FFFFFF"/>
          <w:lang w:val="en-US"/>
        </w:rPr>
        <w:t>]</w:t>
      </w:r>
      <w:r w:rsidR="00DE775B" w:rsidRPr="0034426D">
        <w:rPr>
          <w:rFonts w:cs="Arial"/>
          <w:sz w:val="24"/>
          <w:szCs w:val="24"/>
          <w:shd w:val="clear" w:color="auto" w:fill="FFFFFF"/>
          <w:lang w:val="en-US"/>
        </w:rPr>
        <w:t>.</w:t>
      </w:r>
    </w:p>
    <w:p w14:paraId="281CCEC7" w14:textId="77777777" w:rsidR="00275BC5" w:rsidRPr="0034426D" w:rsidRDefault="00275BC5" w:rsidP="00341D07">
      <w:pPr>
        <w:autoSpaceDE w:val="0"/>
        <w:autoSpaceDN w:val="0"/>
        <w:adjustRightInd w:val="0"/>
        <w:spacing w:after="0" w:line="360" w:lineRule="auto"/>
        <w:jc w:val="both"/>
        <w:rPr>
          <w:rFonts w:cs="AdvP5D8B"/>
          <w:sz w:val="24"/>
          <w:szCs w:val="24"/>
          <w:lang w:val="en-US"/>
        </w:rPr>
      </w:pPr>
      <w:r w:rsidRPr="0034426D">
        <w:rPr>
          <w:rFonts w:cs="Arial"/>
          <w:sz w:val="24"/>
          <w:szCs w:val="24"/>
          <w:shd w:val="clear" w:color="auto" w:fill="FFFFFF"/>
          <w:lang w:val="en-US"/>
        </w:rPr>
        <w:lastRenderedPageBreak/>
        <w:t xml:space="preserve">Previous laboratory experiences </w:t>
      </w:r>
      <w:r w:rsidR="00DB399E" w:rsidRPr="0034426D">
        <w:rPr>
          <w:rFonts w:cs="Arial"/>
          <w:sz w:val="24"/>
          <w:szCs w:val="24"/>
          <w:shd w:val="clear" w:color="auto" w:fill="FFFFFF"/>
          <w:lang w:val="en-US"/>
        </w:rPr>
        <w:t>[10</w:t>
      </w:r>
      <w:r w:rsidR="002F4765">
        <w:rPr>
          <w:rFonts w:cs="Arial"/>
          <w:sz w:val="24"/>
          <w:szCs w:val="24"/>
          <w:shd w:val="clear" w:color="auto" w:fill="FFFFFF"/>
          <w:lang w:val="en-US"/>
        </w:rPr>
        <w:t>6</w:t>
      </w:r>
      <w:r w:rsidR="00DB399E" w:rsidRPr="0034426D">
        <w:rPr>
          <w:rFonts w:cs="Arial"/>
          <w:sz w:val="24"/>
          <w:szCs w:val="24"/>
          <w:shd w:val="clear" w:color="auto" w:fill="FFFFFF"/>
          <w:lang w:val="en-US"/>
        </w:rPr>
        <w:t xml:space="preserve">] </w:t>
      </w:r>
      <w:r w:rsidRPr="0034426D">
        <w:rPr>
          <w:rFonts w:cs="Arial"/>
          <w:sz w:val="24"/>
          <w:szCs w:val="24"/>
          <w:shd w:val="clear" w:color="auto" w:fill="FFFFFF"/>
          <w:lang w:val="en-US"/>
        </w:rPr>
        <w:t xml:space="preserve">demonstrated that </w:t>
      </w:r>
      <w:r w:rsidR="00DA1C92" w:rsidRPr="0034426D">
        <w:rPr>
          <w:rFonts w:cs="AdvP5D8B"/>
          <w:sz w:val="24"/>
          <w:szCs w:val="24"/>
          <w:lang w:val="en-US"/>
        </w:rPr>
        <w:t>Dexa</w:t>
      </w:r>
      <w:r w:rsidRPr="0034426D">
        <w:rPr>
          <w:rFonts w:cs="AdvP5D8B"/>
          <w:sz w:val="24"/>
          <w:szCs w:val="24"/>
          <w:lang w:val="en-US"/>
        </w:rPr>
        <w:t xml:space="preserve"> can be encapsulated in erythrocytes in the fo</w:t>
      </w:r>
      <w:r w:rsidR="001E49D2" w:rsidRPr="0034426D">
        <w:rPr>
          <w:rFonts w:cs="AdvP5D8B"/>
          <w:sz w:val="24"/>
          <w:szCs w:val="24"/>
          <w:lang w:val="en-US"/>
        </w:rPr>
        <w:t>rm of a non</w:t>
      </w:r>
      <w:r w:rsidR="00DA1C92" w:rsidRPr="0034426D">
        <w:rPr>
          <w:rFonts w:cs="AdvP5D8B"/>
          <w:sz w:val="24"/>
          <w:szCs w:val="24"/>
          <w:lang w:val="en-US"/>
        </w:rPr>
        <w:t>-</w:t>
      </w:r>
      <w:r w:rsidR="00423DCB" w:rsidRPr="0034426D">
        <w:rPr>
          <w:rFonts w:cs="AdvP5D8B"/>
          <w:sz w:val="24"/>
          <w:szCs w:val="24"/>
          <w:lang w:val="en-US"/>
        </w:rPr>
        <w:t>diffusible prodrug d</w:t>
      </w:r>
      <w:r w:rsidRPr="0034426D">
        <w:rPr>
          <w:rFonts w:cs="AdvP5D8B"/>
          <w:sz w:val="24"/>
          <w:szCs w:val="24"/>
          <w:lang w:val="en-US"/>
        </w:rPr>
        <w:t>examethasone 21-phosphate (DSP), which is gradually converted by erythrocyte resident enzymes into the diffusible active principle Dexa and then released into the circulation by simple passive dif</w:t>
      </w:r>
      <w:r w:rsidR="00DB399E" w:rsidRPr="0034426D">
        <w:rPr>
          <w:rFonts w:cs="AdvP5D8B"/>
          <w:sz w:val="24"/>
          <w:szCs w:val="24"/>
          <w:lang w:val="en-US"/>
        </w:rPr>
        <w:t>fusion through cell membranes</w:t>
      </w:r>
      <w:r w:rsidRPr="0034426D">
        <w:rPr>
          <w:rFonts w:cs="AdvP5D8B"/>
          <w:sz w:val="24"/>
          <w:szCs w:val="24"/>
          <w:lang w:val="en-US"/>
        </w:rPr>
        <w:t xml:space="preserve">, as shown in </w:t>
      </w:r>
      <w:r w:rsidRPr="0034426D">
        <w:rPr>
          <w:rFonts w:cs="AdvP5D8B"/>
          <w:b/>
          <w:sz w:val="24"/>
          <w:szCs w:val="24"/>
          <w:lang w:val="en-US"/>
        </w:rPr>
        <w:t>Figure 2</w:t>
      </w:r>
      <w:r w:rsidRPr="0034426D">
        <w:rPr>
          <w:rFonts w:cs="AdvP5D8B"/>
          <w:sz w:val="24"/>
          <w:szCs w:val="24"/>
          <w:lang w:val="en-US"/>
        </w:rPr>
        <w:t xml:space="preserve">. The slow dephosphorylation rate of DSP relies on the </w:t>
      </w:r>
      <w:r w:rsidR="002122CF" w:rsidRPr="0034426D">
        <w:rPr>
          <w:rFonts w:cs="AdvP5D8B"/>
          <w:sz w:val="24"/>
          <w:szCs w:val="24"/>
          <w:lang w:val="en-US"/>
        </w:rPr>
        <w:t>high</w:t>
      </w:r>
      <w:r w:rsidRPr="0034426D">
        <w:rPr>
          <w:rFonts w:cs="AdvP5D8B"/>
          <w:sz w:val="24"/>
          <w:szCs w:val="24"/>
          <w:lang w:val="en-US"/>
        </w:rPr>
        <w:t xml:space="preserve"> Michaelis constant (Km) of the dephosphorylating RBC enzyme (mM range). In fact, the kinetic</w:t>
      </w:r>
      <w:r w:rsidR="00DA1C92" w:rsidRPr="0034426D">
        <w:rPr>
          <w:rFonts w:cs="AdvP5D8B"/>
          <w:sz w:val="24"/>
          <w:szCs w:val="24"/>
          <w:lang w:val="en-US"/>
        </w:rPr>
        <w:t>s</w:t>
      </w:r>
      <w:r w:rsidRPr="0034426D">
        <w:rPr>
          <w:rFonts w:cs="AdvP5D8B"/>
          <w:sz w:val="24"/>
          <w:szCs w:val="24"/>
          <w:lang w:val="en-US"/>
        </w:rPr>
        <w:t xml:space="preserve"> of drug release from the carrier erythrocytes depends both on </w:t>
      </w:r>
      <w:r w:rsidR="00DA1C92" w:rsidRPr="0034426D">
        <w:rPr>
          <w:rFonts w:cs="AdvP5D8B"/>
          <w:sz w:val="24"/>
          <w:szCs w:val="24"/>
          <w:lang w:val="en-US"/>
        </w:rPr>
        <w:t>K</w:t>
      </w:r>
      <w:r w:rsidRPr="0034426D">
        <w:rPr>
          <w:rFonts w:cs="AdvP5D8B"/>
          <w:sz w:val="24"/>
          <w:szCs w:val="24"/>
          <w:lang w:val="en-US"/>
        </w:rPr>
        <w:t>m</w:t>
      </w:r>
      <w:r w:rsidR="009F155A">
        <w:rPr>
          <w:rFonts w:cs="AdvP5D8B"/>
          <w:sz w:val="24"/>
          <w:szCs w:val="24"/>
          <w:lang w:val="en-US"/>
        </w:rPr>
        <w:t xml:space="preserve"> </w:t>
      </w:r>
      <w:r w:rsidRPr="0034426D">
        <w:rPr>
          <w:rFonts w:cs="AdvP5D8B"/>
          <w:sz w:val="24"/>
          <w:szCs w:val="24"/>
          <w:lang w:val="en-US"/>
        </w:rPr>
        <w:t>of the intra</w:t>
      </w:r>
      <w:r w:rsidR="00A62874" w:rsidRPr="0034426D">
        <w:rPr>
          <w:rFonts w:cs="AdvP5D8B"/>
          <w:sz w:val="24"/>
          <w:szCs w:val="24"/>
          <w:lang w:val="en-US"/>
        </w:rPr>
        <w:t>-</w:t>
      </w:r>
      <w:r w:rsidRPr="0034426D">
        <w:rPr>
          <w:rFonts w:cs="AdvP5D8B"/>
          <w:sz w:val="24"/>
          <w:szCs w:val="24"/>
          <w:lang w:val="en-US"/>
        </w:rPr>
        <w:t>erythrocyte dephosphorylating enzyme and on the encapsulated prodrug concentration (from micromolar to 40</w:t>
      </w:r>
      <w:r w:rsidRPr="0034426D">
        <w:rPr>
          <w:rFonts w:cs="AdvP4C4E59"/>
          <w:sz w:val="24"/>
          <w:szCs w:val="24"/>
          <w:lang w:val="en-US"/>
        </w:rPr>
        <w:t>-</w:t>
      </w:r>
      <w:r w:rsidRPr="0034426D">
        <w:rPr>
          <w:rFonts w:cs="AdvP5D8B"/>
          <w:sz w:val="24"/>
          <w:szCs w:val="24"/>
          <w:lang w:val="en-US"/>
        </w:rPr>
        <w:t xml:space="preserve">50 mM). The most important advantage derived from this </w:t>
      </w:r>
      <w:r w:rsidR="00DA1C92" w:rsidRPr="0034426D">
        <w:rPr>
          <w:rFonts w:cs="AdvP5D8B"/>
          <w:sz w:val="24"/>
          <w:szCs w:val="24"/>
          <w:lang w:val="en-US"/>
        </w:rPr>
        <w:t>DDS</w:t>
      </w:r>
      <w:r w:rsidRPr="0034426D">
        <w:rPr>
          <w:rFonts w:cs="AdvP5D8B"/>
          <w:sz w:val="24"/>
          <w:szCs w:val="24"/>
          <w:lang w:val="en-US"/>
        </w:rPr>
        <w:t xml:space="preserve"> </w:t>
      </w:r>
      <w:r w:rsidR="00DA1C92" w:rsidRPr="0034426D">
        <w:rPr>
          <w:rFonts w:cs="AdvP5D8B"/>
          <w:sz w:val="24"/>
          <w:szCs w:val="24"/>
          <w:lang w:val="en-US"/>
        </w:rPr>
        <w:t>is</w:t>
      </w:r>
      <w:r w:rsidRPr="0034426D">
        <w:rPr>
          <w:rFonts w:cs="AdvP5D8B"/>
          <w:sz w:val="24"/>
          <w:szCs w:val="24"/>
          <w:lang w:val="en-US"/>
        </w:rPr>
        <w:t xml:space="preserve"> the optimization of </w:t>
      </w:r>
      <w:r w:rsidR="00DA1C92" w:rsidRPr="0034426D">
        <w:rPr>
          <w:rFonts w:cs="AdvP5D8B"/>
          <w:sz w:val="24"/>
          <w:szCs w:val="24"/>
          <w:lang w:val="en-US"/>
        </w:rPr>
        <w:t xml:space="preserve">the </w:t>
      </w:r>
      <w:r w:rsidRPr="0034426D">
        <w:rPr>
          <w:rFonts w:cs="AdvP5D8B"/>
          <w:sz w:val="24"/>
          <w:szCs w:val="24"/>
          <w:lang w:val="en-US"/>
        </w:rPr>
        <w:t xml:space="preserve">drug pharmacokinetic profile: a single administration of DSP loaded-RBCs provides a therapeutic concentration </w:t>
      </w:r>
      <w:r w:rsidRPr="0034426D">
        <w:rPr>
          <w:rFonts w:cs="AdvP92E7"/>
          <w:i/>
          <w:sz w:val="24"/>
          <w:szCs w:val="24"/>
          <w:lang w:val="en-US"/>
        </w:rPr>
        <w:t>in vivo</w:t>
      </w:r>
      <w:r w:rsidRPr="0034426D">
        <w:rPr>
          <w:rFonts w:cs="AdvP92E7"/>
          <w:sz w:val="24"/>
          <w:szCs w:val="24"/>
          <w:lang w:val="en-US"/>
        </w:rPr>
        <w:t xml:space="preserve"> </w:t>
      </w:r>
      <w:r w:rsidR="00355F12" w:rsidRPr="0034426D">
        <w:rPr>
          <w:rFonts w:cs="AdvP5D8B"/>
          <w:sz w:val="24"/>
          <w:szCs w:val="24"/>
          <w:lang w:val="en-US"/>
        </w:rPr>
        <w:t>for at least 21-28 days [</w:t>
      </w:r>
      <w:r w:rsidR="00572626">
        <w:rPr>
          <w:rFonts w:cs="AdvP5D8B"/>
          <w:sz w:val="24"/>
          <w:szCs w:val="24"/>
          <w:lang w:val="en-US"/>
        </w:rPr>
        <w:t>101,102,104,105</w:t>
      </w:r>
      <w:r w:rsidR="00A100BA" w:rsidRPr="0034426D">
        <w:rPr>
          <w:rFonts w:cs="AdvP5D8B"/>
          <w:sz w:val="24"/>
          <w:szCs w:val="24"/>
          <w:lang w:val="en-US"/>
        </w:rPr>
        <w:t>]</w:t>
      </w:r>
      <w:r w:rsidRPr="0034426D">
        <w:rPr>
          <w:rFonts w:cs="AdvP5D8B"/>
          <w:sz w:val="24"/>
          <w:szCs w:val="24"/>
          <w:lang w:val="en-US"/>
        </w:rPr>
        <w:t xml:space="preserve">, while the conventional glucocorticoid treatments </w:t>
      </w:r>
      <w:r w:rsidR="009126C9" w:rsidRPr="0034426D">
        <w:rPr>
          <w:rFonts w:cs="AdvP5D8B"/>
          <w:sz w:val="24"/>
          <w:szCs w:val="24"/>
          <w:lang w:val="en-US"/>
        </w:rPr>
        <w:t xml:space="preserve">usually require </w:t>
      </w:r>
      <w:r w:rsidR="00545971" w:rsidRPr="0034426D">
        <w:rPr>
          <w:rFonts w:cs="AdvP5D8B"/>
          <w:sz w:val="24"/>
          <w:szCs w:val="24"/>
          <w:lang w:val="en-US"/>
        </w:rPr>
        <w:t>a twice-a-day</w:t>
      </w:r>
      <w:r w:rsidR="009126C9" w:rsidRPr="0034426D">
        <w:rPr>
          <w:rFonts w:cs="AdvP5D8B"/>
          <w:sz w:val="24"/>
          <w:szCs w:val="24"/>
          <w:lang w:val="en-US"/>
        </w:rPr>
        <w:t xml:space="preserve"> frequency of administration</w:t>
      </w:r>
      <w:r w:rsidRPr="0034426D">
        <w:rPr>
          <w:rFonts w:cs="AdvP5D8B"/>
          <w:sz w:val="24"/>
          <w:szCs w:val="24"/>
          <w:lang w:val="en-US"/>
        </w:rPr>
        <w:t xml:space="preserve"> to maintain</w:t>
      </w:r>
      <w:r w:rsidR="00D76D6C" w:rsidRPr="0034426D">
        <w:rPr>
          <w:rFonts w:cs="AdvP5D8B"/>
          <w:sz w:val="24"/>
          <w:szCs w:val="24"/>
          <w:lang w:val="en-US"/>
        </w:rPr>
        <w:t xml:space="preserve"> </w:t>
      </w:r>
      <w:r w:rsidRPr="0034426D">
        <w:rPr>
          <w:rFonts w:cs="AdvP5D8B"/>
          <w:sz w:val="24"/>
          <w:szCs w:val="24"/>
          <w:lang w:val="en-US"/>
        </w:rPr>
        <w:t xml:space="preserve">a drug concentration within therapeutic index. In detail, the low doses of DSP encapsulated into erythrocytes (about 10 mg/month/patient), at least </w:t>
      </w:r>
      <w:r w:rsidR="00DA1C92" w:rsidRPr="0034426D">
        <w:rPr>
          <w:rFonts w:cs="AdvP5D8B"/>
          <w:sz w:val="24"/>
          <w:szCs w:val="24"/>
          <w:lang w:val="en-US"/>
        </w:rPr>
        <w:t xml:space="preserve">one tenth </w:t>
      </w:r>
      <w:r w:rsidRPr="0034426D">
        <w:rPr>
          <w:rFonts w:cs="AdvP5D8B"/>
          <w:sz w:val="24"/>
          <w:szCs w:val="24"/>
          <w:lang w:val="en-US"/>
        </w:rPr>
        <w:t>the amount</w:t>
      </w:r>
      <w:r w:rsidRPr="0034426D" w:rsidDel="00316271">
        <w:rPr>
          <w:rFonts w:cs="AdvP5D8B"/>
          <w:sz w:val="24"/>
          <w:szCs w:val="24"/>
          <w:lang w:val="en-US"/>
        </w:rPr>
        <w:t xml:space="preserve"> </w:t>
      </w:r>
      <w:r w:rsidRPr="0034426D">
        <w:rPr>
          <w:rFonts w:cs="AdvP5D8B"/>
          <w:sz w:val="24"/>
          <w:szCs w:val="24"/>
          <w:lang w:val="en-US"/>
        </w:rPr>
        <w:t xml:space="preserve">usually administered by therapeutic protocols, are enough to slow down the progression of the inflammatory diseases. Consequently, this long-term effect </w:t>
      </w:r>
      <w:r w:rsidR="00DA1C92" w:rsidRPr="0034426D">
        <w:rPr>
          <w:rFonts w:cs="AdvP5D8B"/>
          <w:sz w:val="24"/>
          <w:szCs w:val="24"/>
          <w:lang w:val="en-US"/>
        </w:rPr>
        <w:t xml:space="preserve">permits </w:t>
      </w:r>
      <w:r w:rsidRPr="0034426D">
        <w:rPr>
          <w:rFonts w:cs="AdvP5D8B"/>
          <w:sz w:val="24"/>
          <w:szCs w:val="24"/>
          <w:lang w:val="en-US"/>
        </w:rPr>
        <w:t xml:space="preserve">to prolong </w:t>
      </w:r>
      <w:r w:rsidR="00DA1C92" w:rsidRPr="0034426D">
        <w:rPr>
          <w:rFonts w:cs="AdvP5D8B"/>
          <w:sz w:val="24"/>
          <w:szCs w:val="24"/>
          <w:lang w:val="en-US"/>
        </w:rPr>
        <w:t xml:space="preserve">the </w:t>
      </w:r>
      <w:r w:rsidRPr="0034426D">
        <w:rPr>
          <w:rFonts w:cs="AdvP5D8B"/>
          <w:sz w:val="24"/>
          <w:szCs w:val="24"/>
          <w:lang w:val="en-US"/>
        </w:rPr>
        <w:t>time intervals</w:t>
      </w:r>
      <w:r w:rsidR="00A62874" w:rsidRPr="0034426D">
        <w:rPr>
          <w:rFonts w:cs="AdvP5D8B"/>
          <w:sz w:val="24"/>
          <w:szCs w:val="24"/>
          <w:lang w:val="en-US"/>
        </w:rPr>
        <w:t xml:space="preserve"> </w:t>
      </w:r>
      <w:r w:rsidR="00DA1C92" w:rsidRPr="0034426D">
        <w:rPr>
          <w:rFonts w:cs="AdvP5D8B"/>
          <w:sz w:val="24"/>
          <w:szCs w:val="24"/>
          <w:lang w:val="en-US"/>
        </w:rPr>
        <w:t xml:space="preserve">between </w:t>
      </w:r>
      <w:r w:rsidRPr="0034426D">
        <w:rPr>
          <w:rFonts w:cs="AdvP5D8B"/>
          <w:sz w:val="24"/>
          <w:szCs w:val="24"/>
          <w:lang w:val="en-US"/>
        </w:rPr>
        <w:t>applications and to avoid the well-known corticosteroid</w:t>
      </w:r>
      <w:r w:rsidR="00DA1C92" w:rsidRPr="0034426D">
        <w:rPr>
          <w:rFonts w:cs="AdvP5D8B"/>
          <w:sz w:val="24"/>
          <w:szCs w:val="24"/>
          <w:lang w:val="en-US"/>
        </w:rPr>
        <w:t>s’</w:t>
      </w:r>
      <w:r w:rsidRPr="0034426D">
        <w:rPr>
          <w:rFonts w:cs="AdvP5D8B"/>
          <w:sz w:val="24"/>
          <w:szCs w:val="24"/>
          <w:lang w:val="en-US"/>
        </w:rPr>
        <w:t xml:space="preserve"> toxic side effects [</w:t>
      </w:r>
      <w:r w:rsidR="00572626">
        <w:rPr>
          <w:rFonts w:cs="AdvP5D8B"/>
          <w:sz w:val="24"/>
          <w:szCs w:val="24"/>
          <w:lang w:val="en-US"/>
        </w:rPr>
        <w:t>103-105</w:t>
      </w:r>
      <w:r w:rsidR="00DE775B" w:rsidRPr="0034426D">
        <w:rPr>
          <w:rFonts w:cs="AdvP5D8B"/>
          <w:sz w:val="24"/>
          <w:szCs w:val="24"/>
          <w:lang w:val="en-US"/>
        </w:rPr>
        <w:t>]</w:t>
      </w:r>
      <w:r w:rsidRPr="0034426D">
        <w:rPr>
          <w:rFonts w:cs="AdvP5D8B"/>
          <w:sz w:val="24"/>
          <w:szCs w:val="24"/>
          <w:lang w:val="en-US"/>
        </w:rPr>
        <w:t xml:space="preserve"> related to dangerous peak plasma concentration</w:t>
      </w:r>
      <w:r w:rsidR="00DA1C92" w:rsidRPr="0034426D">
        <w:rPr>
          <w:rFonts w:cs="AdvP5D8B"/>
          <w:sz w:val="24"/>
          <w:szCs w:val="24"/>
          <w:lang w:val="en-US"/>
        </w:rPr>
        <w:t>s</w:t>
      </w:r>
      <w:r w:rsidR="00D76D6C" w:rsidRPr="0034426D">
        <w:rPr>
          <w:rFonts w:cs="AdvP5D8B"/>
          <w:sz w:val="24"/>
          <w:szCs w:val="24"/>
          <w:lang w:val="en-US"/>
        </w:rPr>
        <w:t xml:space="preserve"> </w:t>
      </w:r>
      <w:r w:rsidRPr="0034426D">
        <w:rPr>
          <w:rFonts w:cs="AdvP5D8B"/>
          <w:sz w:val="24"/>
          <w:szCs w:val="24"/>
          <w:lang w:val="en-US"/>
        </w:rPr>
        <w:t>when administered</w:t>
      </w:r>
      <w:r w:rsidR="00DA1C92" w:rsidRPr="0034426D">
        <w:rPr>
          <w:rFonts w:cs="AdvP5D8B"/>
          <w:sz w:val="24"/>
          <w:szCs w:val="24"/>
          <w:lang w:val="en-US"/>
        </w:rPr>
        <w:t xml:space="preserve"> in the free form</w:t>
      </w:r>
      <w:r w:rsidRPr="0034426D">
        <w:rPr>
          <w:rFonts w:cs="AdvP5D8B"/>
          <w:sz w:val="24"/>
          <w:szCs w:val="24"/>
          <w:lang w:val="en-US"/>
        </w:rPr>
        <w:t>. Despite the patients were exposed to less Dexa concentrations, these levels were high enough to allow the almost complete saturation of GC receptors and to bring clinical benefit. The treatment is well tolerated by the patients, which is important especially for those subjects affected by chronic inflammatory diseases who experience clinical efficacy also after years of treatment [</w:t>
      </w:r>
      <w:r w:rsidR="00572626">
        <w:rPr>
          <w:rFonts w:cs="AdvP5D8B"/>
          <w:sz w:val="24"/>
          <w:szCs w:val="24"/>
          <w:lang w:val="en-US"/>
        </w:rPr>
        <w:t>101</w:t>
      </w:r>
      <w:r w:rsidR="00A100BA" w:rsidRPr="0034426D">
        <w:rPr>
          <w:rFonts w:cs="AdvP5D8B"/>
          <w:sz w:val="24"/>
          <w:szCs w:val="24"/>
          <w:lang w:val="en-US"/>
        </w:rPr>
        <w:t>,10</w:t>
      </w:r>
      <w:r w:rsidR="002F4765">
        <w:rPr>
          <w:rFonts w:cs="AdvP5D8B"/>
          <w:sz w:val="24"/>
          <w:szCs w:val="24"/>
          <w:lang w:val="en-US"/>
        </w:rPr>
        <w:t>7</w:t>
      </w:r>
      <w:r w:rsidR="00A100BA" w:rsidRPr="0034426D">
        <w:rPr>
          <w:rFonts w:cs="AdvP5D8B"/>
          <w:sz w:val="24"/>
          <w:szCs w:val="24"/>
          <w:lang w:val="en-US"/>
        </w:rPr>
        <w:t>].</w:t>
      </w:r>
    </w:p>
    <w:p w14:paraId="743577A4" w14:textId="77777777" w:rsidR="00275BC5" w:rsidRPr="0034426D" w:rsidRDefault="00275BC5" w:rsidP="00341D07">
      <w:pPr>
        <w:autoSpaceDE w:val="0"/>
        <w:autoSpaceDN w:val="0"/>
        <w:adjustRightInd w:val="0"/>
        <w:spacing w:after="0" w:line="360" w:lineRule="auto"/>
        <w:jc w:val="both"/>
        <w:rPr>
          <w:rFonts w:cs="AdvP5D8B"/>
          <w:sz w:val="24"/>
          <w:szCs w:val="24"/>
          <w:lang w:val="en-US"/>
        </w:rPr>
      </w:pPr>
      <w:r w:rsidRPr="0034426D">
        <w:rPr>
          <w:rFonts w:cs="Arial"/>
          <w:sz w:val="24"/>
          <w:szCs w:val="24"/>
          <w:shd w:val="clear" w:color="auto" w:fill="FFFFFF"/>
          <w:lang w:val="en-US"/>
        </w:rPr>
        <w:t>To make</w:t>
      </w:r>
      <w:r w:rsidR="00C91F52">
        <w:rPr>
          <w:rFonts w:cs="Arial"/>
          <w:sz w:val="24"/>
          <w:szCs w:val="24"/>
          <w:shd w:val="clear" w:color="auto" w:fill="FFFFFF"/>
          <w:lang w:val="en-US"/>
        </w:rPr>
        <w:t xml:space="preserve"> </w:t>
      </w:r>
      <w:r w:rsidRPr="0034426D">
        <w:rPr>
          <w:rFonts w:cs="Arial"/>
          <w:sz w:val="24"/>
          <w:szCs w:val="24"/>
          <w:shd w:val="clear" w:color="auto" w:fill="FFFFFF"/>
          <w:lang w:val="en-US"/>
        </w:rPr>
        <w:t>the transition from laboratory to clinic</w:t>
      </w:r>
      <w:r w:rsidR="00DA1C92" w:rsidRPr="0034426D">
        <w:rPr>
          <w:rFonts w:cs="Arial"/>
          <w:sz w:val="24"/>
          <w:szCs w:val="24"/>
          <w:shd w:val="clear" w:color="auto" w:fill="FFFFFF"/>
          <w:lang w:val="en-US"/>
        </w:rPr>
        <w:t>s possible</w:t>
      </w:r>
      <w:r w:rsidRPr="0034426D">
        <w:rPr>
          <w:rFonts w:cs="Arial"/>
          <w:sz w:val="24"/>
          <w:szCs w:val="24"/>
          <w:shd w:val="clear" w:color="auto" w:fill="FFFFFF"/>
          <w:lang w:val="en-US"/>
        </w:rPr>
        <w:t>,</w:t>
      </w:r>
      <w:r w:rsidRPr="0034426D">
        <w:rPr>
          <w:rFonts w:cs="AdvP5D8B"/>
          <w:sz w:val="24"/>
          <w:szCs w:val="24"/>
          <w:lang w:val="en-US"/>
        </w:rPr>
        <w:t xml:space="preserve"> a drug delivery company specialized in the development of drugs and diagnostics delivered through human red blood cells, EryDel S.p.A.</w:t>
      </w:r>
      <w:r w:rsidR="00072E14" w:rsidRPr="0034426D">
        <w:rPr>
          <w:rFonts w:cs="AdvP5D8B"/>
          <w:sz w:val="24"/>
          <w:szCs w:val="24"/>
          <w:lang w:val="en-US"/>
        </w:rPr>
        <w:t>,</w:t>
      </w:r>
      <w:r w:rsidRPr="0034426D">
        <w:rPr>
          <w:rFonts w:cs="AdvP5D8B"/>
          <w:sz w:val="24"/>
          <w:szCs w:val="24"/>
          <w:lang w:val="en-US"/>
        </w:rPr>
        <w:t xml:space="preserve"> developed an advanced technique for the encapsulation of </w:t>
      </w:r>
      <w:r w:rsidR="00423DCB" w:rsidRPr="0034426D">
        <w:rPr>
          <w:rFonts w:cs="AdvP5D8B"/>
          <w:sz w:val="24"/>
          <w:szCs w:val="24"/>
          <w:lang w:val="en-US"/>
        </w:rPr>
        <w:t>DSP</w:t>
      </w:r>
      <w:r w:rsidRPr="0034426D">
        <w:rPr>
          <w:rFonts w:cs="Arial"/>
          <w:sz w:val="24"/>
          <w:szCs w:val="24"/>
          <w:shd w:val="clear" w:color="auto" w:fill="FFFFFF"/>
          <w:lang w:val="en-US"/>
        </w:rPr>
        <w:t xml:space="preserve"> by a biomedical equipment named “Red Cell Loader”</w:t>
      </w:r>
      <w:r w:rsidR="00F04F0C" w:rsidRPr="0034426D">
        <w:rPr>
          <w:rFonts w:cs="Arial"/>
          <w:sz w:val="24"/>
          <w:szCs w:val="24"/>
          <w:shd w:val="clear" w:color="auto" w:fill="FFFFFF"/>
          <w:lang w:val="en-US"/>
        </w:rPr>
        <w:t xml:space="preserve"> (RCL)</w:t>
      </w:r>
      <w:r w:rsidRPr="0034426D">
        <w:rPr>
          <w:rFonts w:cs="Arial"/>
          <w:sz w:val="24"/>
          <w:szCs w:val="24"/>
          <w:shd w:val="clear" w:color="auto" w:fill="FFFFFF"/>
          <w:lang w:val="en-US"/>
        </w:rPr>
        <w:t xml:space="preserve">. This </w:t>
      </w:r>
      <w:r w:rsidRPr="0034426D">
        <w:rPr>
          <w:rFonts w:cs="AdvP5D8B"/>
          <w:sz w:val="24"/>
          <w:szCs w:val="24"/>
          <w:lang w:val="en-US"/>
        </w:rPr>
        <w:t>electromedical device</w:t>
      </w:r>
      <w:r w:rsidR="001E49D2" w:rsidRPr="0034426D">
        <w:rPr>
          <w:rFonts w:cs="AdvP5D8B"/>
          <w:sz w:val="24"/>
          <w:szCs w:val="24"/>
          <w:lang w:val="en-US"/>
        </w:rPr>
        <w:t>,</w:t>
      </w:r>
      <w:r w:rsidRPr="0034426D">
        <w:rPr>
          <w:rFonts w:cs="AdvP5D8B"/>
          <w:sz w:val="24"/>
          <w:szCs w:val="24"/>
          <w:lang w:val="en-US"/>
        </w:rPr>
        <w:t xml:space="preserve"> </w:t>
      </w:r>
      <w:r w:rsidRPr="0034426D">
        <w:rPr>
          <w:rFonts w:cs="Arial"/>
          <w:sz w:val="24"/>
          <w:szCs w:val="24"/>
          <w:shd w:val="clear" w:color="auto" w:fill="FFFFFF"/>
          <w:lang w:val="en-US"/>
        </w:rPr>
        <w:t xml:space="preserve">that works under pyrogen-free and sterile conditions </w:t>
      </w:r>
      <w:r w:rsidR="00F315EF" w:rsidRPr="0034426D">
        <w:rPr>
          <w:rFonts w:cs="Arial"/>
          <w:sz w:val="24"/>
          <w:szCs w:val="24"/>
          <w:shd w:val="clear" w:color="auto" w:fill="FFFFFF"/>
          <w:lang w:val="en-US"/>
        </w:rPr>
        <w:t>[</w:t>
      </w:r>
      <w:r w:rsidR="00572626">
        <w:rPr>
          <w:rFonts w:cs="Arial"/>
          <w:sz w:val="24"/>
          <w:szCs w:val="24"/>
          <w:shd w:val="clear" w:color="auto" w:fill="FFFFFF"/>
          <w:lang w:val="en-US"/>
        </w:rPr>
        <w:t>30,10</w:t>
      </w:r>
      <w:r w:rsidR="002F4765">
        <w:rPr>
          <w:rFonts w:cs="Arial"/>
          <w:sz w:val="24"/>
          <w:szCs w:val="24"/>
          <w:shd w:val="clear" w:color="auto" w:fill="FFFFFF"/>
          <w:lang w:val="en-US"/>
        </w:rPr>
        <w:t>8</w:t>
      </w:r>
      <w:r w:rsidR="00F315EF" w:rsidRPr="0034426D">
        <w:rPr>
          <w:rFonts w:cs="Arial"/>
          <w:sz w:val="24"/>
          <w:szCs w:val="24"/>
          <w:shd w:val="clear" w:color="auto" w:fill="FFFFFF"/>
          <w:lang w:val="en-US"/>
        </w:rPr>
        <w:t xml:space="preserve">] </w:t>
      </w:r>
      <w:r w:rsidRPr="0034426D">
        <w:rPr>
          <w:rFonts w:cs="Arial"/>
          <w:sz w:val="24"/>
          <w:szCs w:val="24"/>
          <w:shd w:val="clear" w:color="auto" w:fill="FFFFFF"/>
          <w:lang w:val="en-US"/>
        </w:rPr>
        <w:t>in conjunction with a disposable kit,</w:t>
      </w:r>
      <w:r w:rsidR="00D76D6C" w:rsidRPr="0034426D">
        <w:rPr>
          <w:rFonts w:cs="Arial"/>
          <w:sz w:val="24"/>
          <w:szCs w:val="24"/>
          <w:shd w:val="clear" w:color="auto" w:fill="FFFFFF"/>
          <w:lang w:val="en-US"/>
        </w:rPr>
        <w:t xml:space="preserve"> </w:t>
      </w:r>
      <w:r w:rsidRPr="0034426D">
        <w:rPr>
          <w:rFonts w:cs="AdvP5D8B"/>
          <w:sz w:val="24"/>
          <w:szCs w:val="24"/>
          <w:lang w:val="en-US"/>
        </w:rPr>
        <w:t>processes a volume of blood in the order of 50 ml and completes the procedure within a couple of hours from blood collection.</w:t>
      </w:r>
      <w:r w:rsidR="00072E14" w:rsidRPr="0034426D">
        <w:rPr>
          <w:sz w:val="24"/>
          <w:szCs w:val="24"/>
          <w:lang w:val="en-US"/>
        </w:rPr>
        <w:t xml:space="preserve"> </w:t>
      </w:r>
    </w:p>
    <w:p w14:paraId="423BB621" w14:textId="77777777" w:rsidR="00275BC5" w:rsidRPr="0034426D" w:rsidRDefault="002871DB" w:rsidP="00341D07">
      <w:pPr>
        <w:spacing w:after="0" w:line="360" w:lineRule="auto"/>
        <w:jc w:val="both"/>
        <w:rPr>
          <w:rFonts w:cs="Arial"/>
          <w:sz w:val="24"/>
          <w:szCs w:val="24"/>
          <w:shd w:val="clear" w:color="auto" w:fill="FFFFFF"/>
          <w:lang w:val="en-US"/>
        </w:rPr>
      </w:pPr>
      <w:r w:rsidRPr="000B0A0A">
        <w:rPr>
          <w:rFonts w:cs="AdvP5D8B"/>
          <w:sz w:val="24"/>
          <w:szCs w:val="24"/>
          <w:lang w:val="en-US"/>
        </w:rPr>
        <w:t xml:space="preserve">Briefly, the procedure </w:t>
      </w:r>
      <w:r w:rsidRPr="000B0A0A">
        <w:rPr>
          <w:sz w:val="24"/>
          <w:szCs w:val="24"/>
          <w:lang w:val="en-US"/>
        </w:rPr>
        <w:t xml:space="preserve">is based on two sequential dilutions of </w:t>
      </w:r>
      <w:r w:rsidRPr="000B0A0A">
        <w:rPr>
          <w:rFonts w:cs="AdvP5D8B"/>
          <w:sz w:val="24"/>
          <w:szCs w:val="24"/>
          <w:lang w:val="en-US"/>
        </w:rPr>
        <w:t xml:space="preserve">the washed </w:t>
      </w:r>
      <w:r w:rsidRPr="000B0A0A">
        <w:rPr>
          <w:sz w:val="24"/>
          <w:szCs w:val="24"/>
          <w:lang w:val="en-US"/>
        </w:rPr>
        <w:t xml:space="preserve">red </w:t>
      </w:r>
      <w:r w:rsidRPr="000B0A0A">
        <w:rPr>
          <w:rFonts w:cs="AdvP5D8B"/>
          <w:sz w:val="24"/>
          <w:szCs w:val="24"/>
          <w:lang w:val="en-US"/>
        </w:rPr>
        <w:t xml:space="preserve">cells with two </w:t>
      </w:r>
      <w:r w:rsidRPr="000B0A0A">
        <w:rPr>
          <w:sz w:val="24"/>
          <w:szCs w:val="24"/>
          <w:lang w:val="en-US"/>
        </w:rPr>
        <w:t xml:space="preserve">progressively more </w:t>
      </w:r>
      <w:r w:rsidRPr="000B0A0A">
        <w:rPr>
          <w:rFonts w:cs="AdvP5D8B"/>
          <w:sz w:val="24"/>
          <w:szCs w:val="24"/>
          <w:lang w:val="en-US"/>
        </w:rPr>
        <w:t xml:space="preserve">hypotonic </w:t>
      </w:r>
      <w:r w:rsidRPr="000B0A0A">
        <w:rPr>
          <w:sz w:val="24"/>
          <w:szCs w:val="24"/>
          <w:lang w:val="en-US"/>
        </w:rPr>
        <w:t xml:space="preserve">working </w:t>
      </w:r>
      <w:r w:rsidRPr="000B0A0A">
        <w:rPr>
          <w:rFonts w:cs="AdvP5D8B"/>
          <w:sz w:val="24"/>
          <w:szCs w:val="24"/>
          <w:lang w:val="en-US"/>
        </w:rPr>
        <w:t xml:space="preserve">solutions </w:t>
      </w:r>
      <w:r w:rsidRPr="000B0A0A">
        <w:rPr>
          <w:sz w:val="24"/>
          <w:szCs w:val="24"/>
          <w:lang w:val="en-US"/>
        </w:rPr>
        <w:t xml:space="preserve">leading to erythrocyte swelling and </w:t>
      </w:r>
      <w:r w:rsidRPr="000B0A0A">
        <w:rPr>
          <w:rFonts w:cs="AdvP5D8B"/>
          <w:sz w:val="24"/>
          <w:szCs w:val="24"/>
          <w:lang w:val="en-US"/>
        </w:rPr>
        <w:t xml:space="preserve">to </w:t>
      </w:r>
      <w:r w:rsidRPr="000B0A0A">
        <w:rPr>
          <w:sz w:val="24"/>
          <w:szCs w:val="24"/>
          <w:lang w:val="en-US"/>
        </w:rPr>
        <w:t xml:space="preserve">the appearance of pores in their membranes which can now be crossed by the molecules of interest. A haemofilter is used to concentrate the swollen red cells before drug addition. The physiological osmotic pressure is then restored by a hypertonic solution able to close the </w:t>
      </w:r>
      <w:r w:rsidRPr="000B0A0A">
        <w:rPr>
          <w:rFonts w:cs="AdvP5D8B"/>
          <w:sz w:val="24"/>
          <w:szCs w:val="24"/>
          <w:lang w:val="en-US"/>
        </w:rPr>
        <w:t xml:space="preserve">membrane pores, </w:t>
      </w:r>
      <w:r w:rsidRPr="000B0A0A">
        <w:rPr>
          <w:sz w:val="24"/>
          <w:szCs w:val="24"/>
          <w:lang w:val="en-US"/>
        </w:rPr>
        <w:t>thus</w:t>
      </w:r>
      <w:r w:rsidRPr="000B0A0A">
        <w:rPr>
          <w:rFonts w:cs="AdvP5D8B"/>
          <w:sz w:val="24"/>
          <w:szCs w:val="24"/>
          <w:lang w:val="en-US"/>
        </w:rPr>
        <w:t xml:space="preserve"> </w:t>
      </w:r>
      <w:r w:rsidRPr="000B0A0A">
        <w:rPr>
          <w:rFonts w:cs="AdvP5D8B"/>
          <w:sz w:val="24"/>
          <w:szCs w:val="24"/>
          <w:lang w:val="en-US"/>
        </w:rPr>
        <w:lastRenderedPageBreak/>
        <w:t xml:space="preserve">resealing the </w:t>
      </w:r>
      <w:r w:rsidRPr="000B0A0A">
        <w:rPr>
          <w:sz w:val="24"/>
          <w:szCs w:val="24"/>
          <w:lang w:val="en-US"/>
        </w:rPr>
        <w:t xml:space="preserve">erythrocytes </w:t>
      </w:r>
      <w:r w:rsidRPr="000B0A0A">
        <w:rPr>
          <w:rFonts w:cs="AdvP5D8B"/>
          <w:sz w:val="24"/>
          <w:szCs w:val="24"/>
          <w:lang w:val="en-US"/>
        </w:rPr>
        <w:t xml:space="preserve">and </w:t>
      </w:r>
      <w:r w:rsidRPr="000B0A0A">
        <w:rPr>
          <w:sz w:val="24"/>
          <w:szCs w:val="24"/>
          <w:lang w:val="en-US"/>
        </w:rPr>
        <w:t xml:space="preserve">entrapping </w:t>
      </w:r>
      <w:r w:rsidRPr="000B0A0A">
        <w:rPr>
          <w:rFonts w:cs="AdvP5D8B"/>
          <w:sz w:val="24"/>
          <w:szCs w:val="24"/>
          <w:lang w:val="en-US"/>
        </w:rPr>
        <w:t xml:space="preserve">the </w:t>
      </w:r>
      <w:r w:rsidRPr="000B0A0A">
        <w:rPr>
          <w:sz w:val="24"/>
          <w:szCs w:val="24"/>
          <w:lang w:val="en-US"/>
        </w:rPr>
        <w:t>drug inside. The non</w:t>
      </w:r>
      <w:r w:rsidRPr="000B0A0A">
        <w:rPr>
          <w:rFonts w:cs="AdvP5D8B"/>
          <w:sz w:val="24"/>
          <w:szCs w:val="24"/>
          <w:lang w:val="en-US"/>
        </w:rPr>
        <w:t>-encapsulated drug</w:t>
      </w:r>
      <w:r w:rsidRPr="000B0A0A">
        <w:rPr>
          <w:sz w:val="24"/>
          <w:szCs w:val="24"/>
          <w:lang w:val="en-US"/>
        </w:rPr>
        <w:t xml:space="preserve"> is then removed by extensive washing with physiological saline solution</w:t>
      </w:r>
      <w:r w:rsidRPr="000B0A0A">
        <w:rPr>
          <w:rFonts w:cs="AdvP5D8B"/>
          <w:sz w:val="24"/>
          <w:szCs w:val="24"/>
          <w:lang w:val="en-US"/>
        </w:rPr>
        <w:t xml:space="preserve">. A detailed description of this procedure and the main properties of the resulting processed cells </w:t>
      </w:r>
      <w:r w:rsidR="00FD2C5C" w:rsidRPr="000B0A0A">
        <w:rPr>
          <w:rFonts w:cs="AdvP5D8B"/>
          <w:sz w:val="24"/>
          <w:szCs w:val="24"/>
          <w:lang w:val="en-US"/>
        </w:rPr>
        <w:t xml:space="preserve">can be found in Ref. </w:t>
      </w:r>
      <w:r w:rsidR="00572626" w:rsidRPr="000B0A0A">
        <w:rPr>
          <w:rFonts w:cs="AdvP5D8B"/>
          <w:sz w:val="24"/>
          <w:szCs w:val="24"/>
          <w:lang w:val="en-US"/>
        </w:rPr>
        <w:t>30,10</w:t>
      </w:r>
      <w:r w:rsidR="002F4765">
        <w:rPr>
          <w:rFonts w:cs="AdvP5D8B"/>
          <w:sz w:val="24"/>
          <w:szCs w:val="24"/>
          <w:lang w:val="en-US"/>
        </w:rPr>
        <w:t>8</w:t>
      </w:r>
      <w:r w:rsidR="00FD2C5C" w:rsidRPr="000B0A0A">
        <w:rPr>
          <w:rFonts w:cs="AdvP5D8B"/>
          <w:sz w:val="24"/>
          <w:szCs w:val="24"/>
          <w:lang w:val="en-US"/>
        </w:rPr>
        <w:t xml:space="preserve"> and </w:t>
      </w:r>
      <w:r w:rsidR="009343AB" w:rsidRPr="000B0A0A">
        <w:rPr>
          <w:rFonts w:cs="AdvP5D8B"/>
          <w:sz w:val="24"/>
          <w:szCs w:val="24"/>
          <w:lang w:val="en-US"/>
        </w:rPr>
        <w:t>will be</w:t>
      </w:r>
      <w:r w:rsidR="00FD2C5C" w:rsidRPr="000B0A0A">
        <w:rPr>
          <w:rFonts w:cs="AdvP5D8B"/>
          <w:sz w:val="24"/>
          <w:szCs w:val="24"/>
          <w:lang w:val="en-US"/>
        </w:rPr>
        <w:t xml:space="preserve"> further</w:t>
      </w:r>
      <w:r w:rsidR="009343AB" w:rsidRPr="000B0A0A">
        <w:rPr>
          <w:rFonts w:cs="AdvP5D8B"/>
          <w:sz w:val="24"/>
          <w:szCs w:val="24"/>
          <w:lang w:val="en-US"/>
        </w:rPr>
        <w:t xml:space="preserve"> reported elsewhere (Mambrini G. et al. in preparation).</w:t>
      </w:r>
      <w:r w:rsidR="00E259B3" w:rsidRPr="000B0A0A">
        <w:rPr>
          <w:rFonts w:cs="AdvP5D8B"/>
          <w:sz w:val="24"/>
          <w:szCs w:val="24"/>
          <w:lang w:val="en-US"/>
        </w:rPr>
        <w:t xml:space="preserve"> </w:t>
      </w:r>
      <w:r w:rsidR="00275BC5" w:rsidRPr="000B0A0A">
        <w:rPr>
          <w:rFonts w:cs="Arial"/>
          <w:sz w:val="24"/>
          <w:szCs w:val="24"/>
          <w:shd w:val="clear" w:color="auto" w:fill="FFFFFF"/>
          <w:lang w:val="en-US"/>
        </w:rPr>
        <w:t>Recently, this equipment</w:t>
      </w:r>
      <w:r w:rsidR="00275BC5" w:rsidRPr="0034426D">
        <w:rPr>
          <w:rFonts w:cs="Arial"/>
          <w:sz w:val="24"/>
          <w:szCs w:val="24"/>
          <w:shd w:val="clear" w:color="auto" w:fill="FFFFFF"/>
          <w:lang w:val="en-US"/>
        </w:rPr>
        <w:t xml:space="preserve"> was used in a Phase </w:t>
      </w:r>
      <w:r w:rsidR="00DA1C92" w:rsidRPr="0034426D">
        <w:rPr>
          <w:rFonts w:cs="Arial"/>
          <w:sz w:val="24"/>
          <w:szCs w:val="24"/>
          <w:shd w:val="clear" w:color="auto" w:fill="FFFFFF"/>
          <w:lang w:val="en-US"/>
        </w:rPr>
        <w:t>II</w:t>
      </w:r>
      <w:r w:rsidR="00275BC5" w:rsidRPr="0034426D">
        <w:rPr>
          <w:rFonts w:cs="Arial"/>
          <w:sz w:val="24"/>
          <w:szCs w:val="24"/>
          <w:shd w:val="clear" w:color="auto" w:fill="FFFFFF"/>
          <w:lang w:val="en-US"/>
        </w:rPr>
        <w:t xml:space="preserve"> clinical study on patients with ataxia teleangiectasia (AT), </w:t>
      </w:r>
      <w:r w:rsidR="001E49D2" w:rsidRPr="0034426D">
        <w:rPr>
          <w:rFonts w:cs="Arial"/>
          <w:sz w:val="24"/>
          <w:szCs w:val="24"/>
          <w:shd w:val="clear" w:color="auto" w:fill="FFFFFF"/>
          <w:lang w:val="en-US"/>
        </w:rPr>
        <w:t xml:space="preserve">after </w:t>
      </w:r>
      <w:r w:rsidR="00F04F0C" w:rsidRPr="0034426D">
        <w:rPr>
          <w:rFonts w:cs="Arial"/>
          <w:sz w:val="24"/>
          <w:szCs w:val="24"/>
          <w:shd w:val="clear" w:color="auto" w:fill="FFFFFF"/>
          <w:lang w:val="en-US"/>
        </w:rPr>
        <w:t xml:space="preserve">serendipity </w:t>
      </w:r>
      <w:r w:rsidR="00275BC5" w:rsidRPr="0034426D">
        <w:rPr>
          <w:rFonts w:cs="Arial"/>
          <w:sz w:val="24"/>
          <w:szCs w:val="24"/>
          <w:shd w:val="clear" w:color="auto" w:fill="FFFFFF"/>
          <w:lang w:val="en-US"/>
        </w:rPr>
        <w:t xml:space="preserve">observation </w:t>
      </w:r>
      <w:r w:rsidR="00F04F0C" w:rsidRPr="0034426D">
        <w:rPr>
          <w:rFonts w:cs="Arial"/>
          <w:sz w:val="24"/>
          <w:szCs w:val="24"/>
          <w:shd w:val="clear" w:color="auto" w:fill="FFFFFF"/>
          <w:lang w:val="en-US"/>
        </w:rPr>
        <w:t xml:space="preserve">and limited </w:t>
      </w:r>
      <w:r w:rsidR="00275BC5" w:rsidRPr="0034426D">
        <w:rPr>
          <w:rFonts w:cs="Arial"/>
          <w:sz w:val="24"/>
          <w:szCs w:val="24"/>
          <w:shd w:val="clear" w:color="auto" w:fill="FFFFFF"/>
          <w:lang w:val="en-US"/>
        </w:rPr>
        <w:t>studies in few patients showed beneficial effects of short</w:t>
      </w:r>
      <w:r w:rsidR="00247C0E" w:rsidRPr="0034426D">
        <w:rPr>
          <w:rFonts w:cs="Arial"/>
          <w:sz w:val="24"/>
          <w:szCs w:val="24"/>
          <w:shd w:val="clear" w:color="auto" w:fill="FFFFFF"/>
          <w:lang w:val="en-US"/>
        </w:rPr>
        <w:t>-</w:t>
      </w:r>
      <w:r w:rsidR="00275BC5" w:rsidRPr="0034426D">
        <w:rPr>
          <w:rFonts w:cs="Arial"/>
          <w:sz w:val="24"/>
          <w:szCs w:val="24"/>
          <w:shd w:val="clear" w:color="auto" w:fill="FFFFFF"/>
          <w:lang w:val="en-US"/>
        </w:rPr>
        <w:t xml:space="preserve">term treatment with betamethasone </w:t>
      </w:r>
      <w:r w:rsidR="00F315EF" w:rsidRPr="0034426D">
        <w:rPr>
          <w:rFonts w:cs="Arial"/>
          <w:sz w:val="24"/>
          <w:szCs w:val="24"/>
          <w:shd w:val="clear" w:color="auto" w:fill="FFFFFF"/>
          <w:lang w:val="en-US"/>
        </w:rPr>
        <w:t>[</w:t>
      </w:r>
      <w:r w:rsidR="00551660" w:rsidRPr="0034426D">
        <w:rPr>
          <w:rFonts w:cs="Arial"/>
          <w:sz w:val="24"/>
          <w:szCs w:val="24"/>
          <w:shd w:val="clear" w:color="auto" w:fill="FFFFFF"/>
          <w:lang w:val="en-US"/>
        </w:rPr>
        <w:t>1</w:t>
      </w:r>
      <w:r w:rsidR="002F4765">
        <w:rPr>
          <w:rFonts w:cs="Arial"/>
          <w:sz w:val="24"/>
          <w:szCs w:val="24"/>
          <w:shd w:val="clear" w:color="auto" w:fill="FFFFFF"/>
          <w:lang w:val="en-US"/>
        </w:rPr>
        <w:t>09</w:t>
      </w:r>
      <w:r w:rsidR="00572626">
        <w:rPr>
          <w:rFonts w:cs="Arial"/>
          <w:sz w:val="24"/>
          <w:szCs w:val="24"/>
          <w:shd w:val="clear" w:color="auto" w:fill="FFFFFF"/>
          <w:lang w:val="en-US"/>
        </w:rPr>
        <w:t>-11</w:t>
      </w:r>
      <w:r w:rsidR="002F4765">
        <w:rPr>
          <w:rFonts w:cs="Arial"/>
          <w:sz w:val="24"/>
          <w:szCs w:val="24"/>
          <w:shd w:val="clear" w:color="auto" w:fill="FFFFFF"/>
          <w:lang w:val="en-US"/>
        </w:rPr>
        <w:t>2</w:t>
      </w:r>
      <w:r w:rsidR="00F315EF" w:rsidRPr="0034426D">
        <w:rPr>
          <w:rFonts w:cs="Arial"/>
          <w:sz w:val="24"/>
          <w:szCs w:val="24"/>
          <w:shd w:val="clear" w:color="auto" w:fill="FFFFFF"/>
          <w:lang w:val="en-US"/>
        </w:rPr>
        <w:t>]</w:t>
      </w:r>
      <w:r w:rsidR="00275BC5" w:rsidRPr="0034426D">
        <w:rPr>
          <w:rFonts w:cs="Arial"/>
          <w:sz w:val="24"/>
          <w:szCs w:val="24"/>
          <w:shd w:val="clear" w:color="auto" w:fill="FFFFFF"/>
          <w:lang w:val="en-US"/>
        </w:rPr>
        <w:t>.</w:t>
      </w:r>
      <w:r w:rsidR="00E259B3">
        <w:rPr>
          <w:rFonts w:cs="Arial"/>
          <w:sz w:val="24"/>
          <w:szCs w:val="24"/>
          <w:shd w:val="clear" w:color="auto" w:fill="FFFFFF"/>
          <w:lang w:val="en-US"/>
        </w:rPr>
        <w:t xml:space="preserve"> </w:t>
      </w:r>
      <w:r w:rsidR="00DA1C92" w:rsidRPr="0034426D">
        <w:rPr>
          <w:rFonts w:cs="Arial"/>
          <w:sz w:val="24"/>
          <w:szCs w:val="24"/>
          <w:shd w:val="clear" w:color="auto" w:fill="FFFFFF"/>
          <w:lang w:val="en-US"/>
        </w:rPr>
        <w:t xml:space="preserve">AT </w:t>
      </w:r>
      <w:r w:rsidR="00275BC5" w:rsidRPr="0034426D">
        <w:rPr>
          <w:rFonts w:cs="Arial"/>
          <w:sz w:val="24"/>
          <w:szCs w:val="24"/>
          <w:shd w:val="clear" w:color="auto" w:fill="FFFFFF"/>
          <w:lang w:val="en-US"/>
        </w:rPr>
        <w:t xml:space="preserve">is a rare devastating neurodegenerative disease characterized by early onset ataxia, oculocutaneous teleangiectasias, immunodeficiency, recurrent infections, radiosensitivity and proneness to cancer </w:t>
      </w:r>
      <w:r w:rsidR="00F315EF" w:rsidRPr="0034426D">
        <w:rPr>
          <w:rFonts w:cs="Arial"/>
          <w:sz w:val="24"/>
          <w:szCs w:val="24"/>
          <w:shd w:val="clear" w:color="auto" w:fill="FFFFFF"/>
          <w:lang w:val="en-US"/>
        </w:rPr>
        <w:t>[1</w:t>
      </w:r>
      <w:r w:rsidR="00551660" w:rsidRPr="0034426D">
        <w:rPr>
          <w:rFonts w:cs="Arial"/>
          <w:sz w:val="24"/>
          <w:szCs w:val="24"/>
          <w:shd w:val="clear" w:color="auto" w:fill="FFFFFF"/>
          <w:lang w:val="en-US"/>
        </w:rPr>
        <w:t>1</w:t>
      </w:r>
      <w:r w:rsidR="002F4765">
        <w:rPr>
          <w:rFonts w:cs="Arial"/>
          <w:sz w:val="24"/>
          <w:szCs w:val="24"/>
          <w:shd w:val="clear" w:color="auto" w:fill="FFFFFF"/>
          <w:lang w:val="en-US"/>
        </w:rPr>
        <w:t>3</w:t>
      </w:r>
      <w:r w:rsidR="00F315EF" w:rsidRPr="0034426D">
        <w:rPr>
          <w:rFonts w:cs="Arial"/>
          <w:sz w:val="24"/>
          <w:szCs w:val="24"/>
          <w:shd w:val="clear" w:color="auto" w:fill="FFFFFF"/>
          <w:lang w:val="en-US"/>
        </w:rPr>
        <w:t>]</w:t>
      </w:r>
      <w:r w:rsidR="00275BC5" w:rsidRPr="0034426D">
        <w:rPr>
          <w:rFonts w:cs="Arial"/>
          <w:sz w:val="24"/>
          <w:szCs w:val="24"/>
          <w:shd w:val="clear" w:color="auto" w:fill="FFFFFF"/>
          <w:lang w:val="en-US"/>
        </w:rPr>
        <w:t>, without available therapies. This study was performed to assess the effect of EryDex System (EDS, DSP encapsulated in autologous erythrocytes; property of EryDel S.p.A., www.erydel.com) on neurological symptoms of AT patients and proved to be promis</w:t>
      </w:r>
      <w:r w:rsidR="001E49D2" w:rsidRPr="0034426D">
        <w:rPr>
          <w:rFonts w:cs="Arial"/>
          <w:sz w:val="24"/>
          <w:szCs w:val="24"/>
          <w:shd w:val="clear" w:color="auto" w:fill="FFFFFF"/>
          <w:lang w:val="en-US"/>
        </w:rPr>
        <w:t xml:space="preserve">ing </w:t>
      </w:r>
      <w:r w:rsidR="004A0DED" w:rsidRPr="0034426D">
        <w:rPr>
          <w:rFonts w:cs="Arial"/>
          <w:sz w:val="24"/>
          <w:szCs w:val="24"/>
          <w:shd w:val="clear" w:color="auto" w:fill="FFFFFF"/>
          <w:lang w:val="en-US"/>
        </w:rPr>
        <w:t>as</w:t>
      </w:r>
      <w:r w:rsidR="001E49D2" w:rsidRPr="0034426D">
        <w:rPr>
          <w:rFonts w:cs="Arial"/>
          <w:sz w:val="24"/>
          <w:szCs w:val="24"/>
          <w:shd w:val="clear" w:color="auto" w:fill="FFFFFF"/>
          <w:lang w:val="en-US"/>
        </w:rPr>
        <w:t xml:space="preserve"> long-</w:t>
      </w:r>
      <w:r w:rsidR="00275BC5" w:rsidRPr="0034426D">
        <w:rPr>
          <w:rFonts w:cs="Arial"/>
          <w:sz w:val="24"/>
          <w:szCs w:val="24"/>
          <w:shd w:val="clear" w:color="auto" w:fill="FFFFFF"/>
          <w:lang w:val="en-US"/>
        </w:rPr>
        <w:t>term steroid administration</w:t>
      </w:r>
      <w:r w:rsidR="004A0DED" w:rsidRPr="0034426D">
        <w:rPr>
          <w:rFonts w:cs="Arial"/>
          <w:sz w:val="24"/>
          <w:szCs w:val="24"/>
          <w:shd w:val="clear" w:color="auto" w:fill="FFFFFF"/>
          <w:lang w:val="en-US"/>
        </w:rPr>
        <w:t xml:space="preserve"> strategy, able to</w:t>
      </w:r>
      <w:r w:rsidR="00275BC5" w:rsidRPr="0034426D">
        <w:rPr>
          <w:rFonts w:cs="Arial"/>
          <w:sz w:val="24"/>
          <w:szCs w:val="24"/>
          <w:shd w:val="clear" w:color="auto" w:fill="FFFFFF"/>
          <w:lang w:val="en-US"/>
        </w:rPr>
        <w:t xml:space="preserve"> </w:t>
      </w:r>
      <w:r w:rsidR="004A0DED" w:rsidRPr="0034426D">
        <w:rPr>
          <w:rFonts w:cs="Arial"/>
          <w:sz w:val="24"/>
          <w:szCs w:val="24"/>
          <w:shd w:val="clear" w:color="auto" w:fill="FFFFFF"/>
          <w:lang w:val="en-US"/>
        </w:rPr>
        <w:t>improve</w:t>
      </w:r>
      <w:r w:rsidR="00275BC5" w:rsidRPr="0034426D">
        <w:rPr>
          <w:rFonts w:cs="Arial"/>
          <w:sz w:val="24"/>
          <w:szCs w:val="24"/>
          <w:shd w:val="clear" w:color="auto" w:fill="FFFFFF"/>
          <w:lang w:val="en-US"/>
        </w:rPr>
        <w:t xml:space="preserve"> the </w:t>
      </w:r>
      <w:r w:rsidR="00F04F0C" w:rsidRPr="0034426D">
        <w:rPr>
          <w:rFonts w:cs="Arial"/>
          <w:sz w:val="24"/>
          <w:szCs w:val="24"/>
          <w:shd w:val="clear" w:color="auto" w:fill="FFFFFF"/>
          <w:lang w:val="en-US"/>
        </w:rPr>
        <w:t xml:space="preserve">neurological </w:t>
      </w:r>
      <w:r w:rsidR="00E259B3">
        <w:rPr>
          <w:rFonts w:cs="Arial"/>
          <w:sz w:val="24"/>
          <w:szCs w:val="24"/>
          <w:shd w:val="clear" w:color="auto" w:fill="FFFFFF"/>
          <w:lang w:val="en-US"/>
        </w:rPr>
        <w:t>condition</w:t>
      </w:r>
      <w:r w:rsidR="00275BC5" w:rsidRPr="0034426D">
        <w:rPr>
          <w:rFonts w:cs="Arial"/>
          <w:sz w:val="24"/>
          <w:szCs w:val="24"/>
          <w:shd w:val="clear" w:color="auto" w:fill="FFFFFF"/>
          <w:lang w:val="en-US"/>
        </w:rPr>
        <w:t xml:space="preserve"> associated with the disease while minimizing the side effects </w:t>
      </w:r>
      <w:r w:rsidR="004A0DED" w:rsidRPr="0034426D">
        <w:rPr>
          <w:rFonts w:cs="Arial"/>
          <w:sz w:val="24"/>
          <w:szCs w:val="24"/>
          <w:shd w:val="clear" w:color="auto" w:fill="FFFFFF"/>
          <w:lang w:val="en-US"/>
        </w:rPr>
        <w:t>of</w:t>
      </w:r>
      <w:r w:rsidR="00275BC5" w:rsidRPr="0034426D">
        <w:rPr>
          <w:rFonts w:cs="Arial"/>
          <w:sz w:val="24"/>
          <w:szCs w:val="24"/>
          <w:shd w:val="clear" w:color="auto" w:fill="FFFFFF"/>
          <w:lang w:val="en-US"/>
        </w:rPr>
        <w:t xml:space="preserve"> </w:t>
      </w:r>
      <w:r w:rsidR="004A0DED" w:rsidRPr="0034426D">
        <w:rPr>
          <w:rFonts w:cs="Arial"/>
          <w:sz w:val="24"/>
          <w:szCs w:val="24"/>
          <w:shd w:val="clear" w:color="auto" w:fill="FFFFFF"/>
          <w:lang w:val="en-US"/>
        </w:rPr>
        <w:t>oral steroids’</w:t>
      </w:r>
      <w:r w:rsidR="00275BC5" w:rsidRPr="0034426D">
        <w:rPr>
          <w:rFonts w:cs="Arial"/>
          <w:sz w:val="24"/>
          <w:szCs w:val="24"/>
          <w:shd w:val="clear" w:color="auto" w:fill="FFFFFF"/>
          <w:lang w:val="en-US"/>
        </w:rPr>
        <w:t xml:space="preserve"> administrations.</w:t>
      </w:r>
    </w:p>
    <w:p w14:paraId="07C6EB08" w14:textId="77777777" w:rsidR="00A313BB" w:rsidRPr="0034426D" w:rsidRDefault="00275BC5" w:rsidP="00A313BB">
      <w:pPr>
        <w:spacing w:after="0" w:line="360" w:lineRule="auto"/>
        <w:jc w:val="both"/>
        <w:rPr>
          <w:rFonts w:cs="AdvP5D8B"/>
          <w:sz w:val="24"/>
          <w:szCs w:val="24"/>
          <w:lang w:val="en-US"/>
        </w:rPr>
      </w:pPr>
      <w:r w:rsidRPr="0034426D">
        <w:rPr>
          <w:rFonts w:cs="AdvP5D8B"/>
          <w:sz w:val="24"/>
          <w:szCs w:val="24"/>
          <w:lang w:val="en-US"/>
        </w:rPr>
        <w:t xml:space="preserve">The delivery of the corticosteroid </w:t>
      </w:r>
      <w:r w:rsidR="00423DCB" w:rsidRPr="0034426D">
        <w:rPr>
          <w:rFonts w:cs="AdvP5D8B"/>
          <w:sz w:val="24"/>
          <w:szCs w:val="24"/>
          <w:lang w:val="en-US"/>
        </w:rPr>
        <w:t>Dexa</w:t>
      </w:r>
      <w:r w:rsidRPr="0034426D">
        <w:rPr>
          <w:rFonts w:cs="AdvP5D8B"/>
          <w:sz w:val="24"/>
          <w:szCs w:val="24"/>
          <w:lang w:val="en-US"/>
        </w:rPr>
        <w:t xml:space="preserve"> by means of D</w:t>
      </w:r>
      <w:r w:rsidR="00423DCB" w:rsidRPr="0034426D">
        <w:rPr>
          <w:rFonts w:cs="AdvP5D8B"/>
          <w:sz w:val="24"/>
          <w:szCs w:val="24"/>
          <w:lang w:val="en-US"/>
        </w:rPr>
        <w:t>SP</w:t>
      </w:r>
      <w:r w:rsidRPr="0034426D">
        <w:rPr>
          <w:rFonts w:cs="AdvP5D8B"/>
          <w:sz w:val="24"/>
          <w:szCs w:val="24"/>
          <w:lang w:val="en-US"/>
        </w:rPr>
        <w:t xml:space="preserve"> encapsulation into autologous </w:t>
      </w:r>
      <w:r w:rsidR="00DA1C92" w:rsidRPr="0034426D">
        <w:rPr>
          <w:rFonts w:cs="AdvP5D8B"/>
          <w:sz w:val="24"/>
          <w:szCs w:val="24"/>
          <w:lang w:val="en-US"/>
        </w:rPr>
        <w:t xml:space="preserve">RBCs </w:t>
      </w:r>
      <w:r w:rsidRPr="0034426D">
        <w:rPr>
          <w:rFonts w:cs="AdvP5D8B"/>
          <w:sz w:val="24"/>
          <w:szCs w:val="24"/>
          <w:lang w:val="en-US"/>
        </w:rPr>
        <w:t>ha</w:t>
      </w:r>
      <w:r w:rsidR="006E0167" w:rsidRPr="0034426D">
        <w:rPr>
          <w:rFonts w:cs="AdvP5D8B"/>
          <w:sz w:val="24"/>
          <w:szCs w:val="24"/>
          <w:lang w:val="en-US"/>
        </w:rPr>
        <w:t>s</w:t>
      </w:r>
      <w:r w:rsidRPr="0034426D">
        <w:rPr>
          <w:rFonts w:cs="AdvP5D8B"/>
          <w:sz w:val="24"/>
          <w:szCs w:val="24"/>
          <w:lang w:val="en-US"/>
        </w:rPr>
        <w:t xml:space="preserve"> received the designation of orphan drug by the European Medicinal Agency for the treatment of cystic fibrosis (</w:t>
      </w:r>
      <w:r w:rsidR="000B0A0A">
        <w:rPr>
          <w:rFonts w:cs="AdvP5D8B"/>
          <w:sz w:val="24"/>
          <w:szCs w:val="24"/>
          <w:lang w:val="en-US"/>
        </w:rPr>
        <w:t>CF</w:t>
      </w:r>
      <w:r w:rsidRPr="0034426D">
        <w:rPr>
          <w:rFonts w:cs="AdvP5D8B"/>
          <w:sz w:val="24"/>
          <w:szCs w:val="24"/>
          <w:lang w:val="en-US"/>
        </w:rPr>
        <w:t xml:space="preserve">) (EMEA/OD/039/04EU/3/04/ 230) and more recently for the treatment of Ataxia Telangiectasia (EU ODD: EU/3/13/1158 </w:t>
      </w:r>
      <w:r w:rsidRPr="0034426D">
        <w:rPr>
          <w:rFonts w:cs="AdvP4C4E59"/>
          <w:sz w:val="24"/>
          <w:szCs w:val="24"/>
          <w:lang w:val="en-US"/>
        </w:rPr>
        <w:t xml:space="preserve">-- </w:t>
      </w:r>
      <w:r w:rsidRPr="0034426D">
        <w:rPr>
          <w:rFonts w:cs="AdvP5D8B"/>
          <w:sz w:val="24"/>
          <w:szCs w:val="24"/>
          <w:lang w:val="en-US"/>
        </w:rPr>
        <w:t>EMA/OD/052/13)</w:t>
      </w:r>
      <w:r w:rsidR="00DA1C92" w:rsidRPr="0034426D">
        <w:rPr>
          <w:rFonts w:cs="AdvP5D8B"/>
          <w:sz w:val="24"/>
          <w:szCs w:val="24"/>
          <w:lang w:val="en-US"/>
        </w:rPr>
        <w:t>;</w:t>
      </w:r>
      <w:r w:rsidRPr="0034426D">
        <w:rPr>
          <w:rFonts w:cs="AdvP5D8B"/>
          <w:sz w:val="24"/>
          <w:szCs w:val="24"/>
          <w:lang w:val="en-US"/>
        </w:rPr>
        <w:t xml:space="preserve"> th</w:t>
      </w:r>
      <w:r w:rsidR="00DA1C92" w:rsidRPr="0034426D">
        <w:rPr>
          <w:rFonts w:cs="AdvP5D8B"/>
          <w:sz w:val="24"/>
          <w:szCs w:val="24"/>
          <w:lang w:val="en-US"/>
        </w:rPr>
        <w:t>e</w:t>
      </w:r>
      <w:r w:rsidRPr="0034426D">
        <w:rPr>
          <w:rFonts w:cs="AdvP5D8B"/>
          <w:sz w:val="24"/>
          <w:szCs w:val="24"/>
          <w:lang w:val="en-US"/>
        </w:rPr>
        <w:t xml:space="preserve"> latter was also granted b</w:t>
      </w:r>
      <w:r w:rsidR="008D12F0" w:rsidRPr="0034426D">
        <w:rPr>
          <w:rFonts w:cs="AdvP5D8B"/>
          <w:sz w:val="24"/>
          <w:szCs w:val="24"/>
          <w:lang w:val="en-US"/>
        </w:rPr>
        <w:t>y the US FDA (US ODD: 12-3732).</w:t>
      </w:r>
    </w:p>
    <w:p w14:paraId="7533399E" w14:textId="77777777" w:rsidR="00A313BB" w:rsidRPr="0034426D" w:rsidRDefault="00A313BB" w:rsidP="00A313BB">
      <w:pPr>
        <w:spacing w:after="0" w:line="360" w:lineRule="auto"/>
        <w:jc w:val="both"/>
        <w:rPr>
          <w:rFonts w:cs="AdvTT5235d5a9"/>
          <w:b/>
          <w:color w:val="000000"/>
          <w:sz w:val="24"/>
          <w:szCs w:val="24"/>
          <w:lang w:val="en-US"/>
        </w:rPr>
      </w:pPr>
    </w:p>
    <w:p w14:paraId="49364694" w14:textId="77777777" w:rsidR="007E72DD" w:rsidRPr="0034426D" w:rsidRDefault="007E72DD" w:rsidP="00A313BB">
      <w:pPr>
        <w:spacing w:after="0" w:line="360" w:lineRule="auto"/>
        <w:jc w:val="both"/>
        <w:rPr>
          <w:b/>
          <w:sz w:val="24"/>
          <w:szCs w:val="24"/>
          <w:lang w:val="en-US"/>
        </w:rPr>
      </w:pPr>
      <w:r w:rsidRPr="0034426D">
        <w:rPr>
          <w:rFonts w:cs="AdvTT5235d5a9"/>
          <w:b/>
          <w:color w:val="000000"/>
          <w:sz w:val="24"/>
          <w:szCs w:val="24"/>
          <w:lang w:val="en-US"/>
        </w:rPr>
        <w:t xml:space="preserve">2.3 </w:t>
      </w:r>
      <w:r w:rsidRPr="0034426D">
        <w:rPr>
          <w:b/>
          <w:sz w:val="24"/>
          <w:szCs w:val="24"/>
          <w:lang w:val="en-US"/>
        </w:rPr>
        <w:t>Immunosuppressant drugs: limitations related to pharmacokinetics and advantages to the use of erythrocytes as delivery system</w:t>
      </w:r>
    </w:p>
    <w:p w14:paraId="423E700F" w14:textId="77777777" w:rsidR="007E72DD" w:rsidRPr="0034426D" w:rsidRDefault="007E72DD" w:rsidP="007E72DD">
      <w:pPr>
        <w:spacing w:line="360" w:lineRule="auto"/>
        <w:contextualSpacing/>
        <w:jc w:val="both"/>
        <w:rPr>
          <w:sz w:val="24"/>
          <w:szCs w:val="24"/>
          <w:lang w:val="en-US"/>
        </w:rPr>
      </w:pPr>
      <w:r w:rsidRPr="0034426D">
        <w:rPr>
          <w:sz w:val="24"/>
          <w:szCs w:val="24"/>
          <w:lang w:val="en-US"/>
        </w:rPr>
        <w:t xml:space="preserve">Cyclosporine (CsA) and Tacrolimus (FK506) are among the most effective immunosuppressive agents for preventing or treating graft rejection in organ transplantation. Both are natural compounds produced, respectively, by the fungus </w:t>
      </w:r>
      <w:r w:rsidRPr="0034426D">
        <w:rPr>
          <w:i/>
          <w:sz w:val="24"/>
          <w:szCs w:val="24"/>
          <w:lang w:val="en-US"/>
        </w:rPr>
        <w:t>Tolypocladium inflatum</w:t>
      </w:r>
      <w:r w:rsidRPr="0034426D">
        <w:rPr>
          <w:sz w:val="24"/>
          <w:szCs w:val="24"/>
          <w:lang w:val="en-US"/>
        </w:rPr>
        <w:t xml:space="preserve"> and the actinomycete </w:t>
      </w:r>
      <w:r w:rsidRPr="0034426D">
        <w:rPr>
          <w:i/>
          <w:sz w:val="24"/>
          <w:szCs w:val="24"/>
          <w:lang w:val="en-US"/>
        </w:rPr>
        <w:t>Streptomyces tsukubaensis</w:t>
      </w:r>
      <w:r w:rsidRPr="0034426D">
        <w:rPr>
          <w:sz w:val="24"/>
          <w:szCs w:val="24"/>
          <w:lang w:val="en-US"/>
        </w:rPr>
        <w:t xml:space="preserve"> and, although </w:t>
      </w:r>
      <w:r w:rsidR="00DA1C92" w:rsidRPr="0034426D">
        <w:rPr>
          <w:sz w:val="24"/>
          <w:szCs w:val="24"/>
          <w:lang w:val="en-US"/>
        </w:rPr>
        <w:t xml:space="preserve">they </w:t>
      </w:r>
      <w:r w:rsidRPr="0034426D">
        <w:rPr>
          <w:sz w:val="24"/>
          <w:szCs w:val="24"/>
          <w:lang w:val="en-US"/>
        </w:rPr>
        <w:t>have different molecular structures, their molecular mechanisms and immunosuppressive and physiochemical properties are similar. Indeed, both belong to the class of “calcineurin inhibitors” and their activity result</w:t>
      </w:r>
      <w:r w:rsidR="00DA1C92" w:rsidRPr="0034426D">
        <w:rPr>
          <w:sz w:val="24"/>
          <w:szCs w:val="24"/>
          <w:lang w:val="en-US"/>
        </w:rPr>
        <w:t>s</w:t>
      </w:r>
      <w:r w:rsidRPr="0034426D">
        <w:rPr>
          <w:sz w:val="24"/>
          <w:szCs w:val="24"/>
          <w:lang w:val="en-US"/>
        </w:rPr>
        <w:t xml:space="preserve"> in the blocking of the dephosphorylation of the transcription factor “nuclear factor of activated T cells” (NF-AT), thus impeding the transcription of the most </w:t>
      </w:r>
      <w:r w:rsidR="00CE28CA" w:rsidRPr="0034426D">
        <w:rPr>
          <w:sz w:val="24"/>
          <w:szCs w:val="24"/>
          <w:lang w:val="en-US"/>
        </w:rPr>
        <w:t>characterized</w:t>
      </w:r>
      <w:r w:rsidRPr="0034426D">
        <w:rPr>
          <w:sz w:val="24"/>
          <w:szCs w:val="24"/>
          <w:lang w:val="en-US"/>
        </w:rPr>
        <w:t xml:space="preserve"> IL-2 target gene </w:t>
      </w:r>
      <w:r w:rsidR="00CE28CA" w:rsidRPr="0034426D">
        <w:rPr>
          <w:sz w:val="24"/>
          <w:szCs w:val="24"/>
          <w:lang w:val="en-US"/>
        </w:rPr>
        <w:t>[11</w:t>
      </w:r>
      <w:r w:rsidR="002F4765">
        <w:rPr>
          <w:sz w:val="24"/>
          <w:szCs w:val="24"/>
          <w:lang w:val="en-US"/>
        </w:rPr>
        <w:t>4</w:t>
      </w:r>
      <w:r w:rsidR="00CE28CA" w:rsidRPr="0034426D">
        <w:rPr>
          <w:sz w:val="24"/>
          <w:szCs w:val="24"/>
          <w:lang w:val="en-US"/>
        </w:rPr>
        <w:t>]</w:t>
      </w:r>
      <w:r w:rsidRPr="0034426D">
        <w:rPr>
          <w:sz w:val="24"/>
          <w:szCs w:val="24"/>
          <w:lang w:val="en-US"/>
        </w:rPr>
        <w:t xml:space="preserve">. At the molecular level, CsA and FK506 binding to calcineurin is mediated by two distinct cytosolic proteins belonging to the immunophilin family, cyclophilin A (CypA) and the 12-kDa FK506 binding protein (FKBP12), </w:t>
      </w:r>
      <w:r w:rsidRPr="0034426D">
        <w:rPr>
          <w:sz w:val="24"/>
          <w:szCs w:val="24"/>
          <w:lang w:val="en-US"/>
        </w:rPr>
        <w:lastRenderedPageBreak/>
        <w:t>respectively. Once drugs bind immunophilins, the resulting drug-protein duplex forms a ternary complex with calcineurin</w:t>
      </w:r>
      <w:r w:rsidR="00100FB3" w:rsidRPr="0034426D">
        <w:rPr>
          <w:sz w:val="24"/>
          <w:szCs w:val="24"/>
          <w:lang w:val="en-US"/>
        </w:rPr>
        <w:t>, thus</w:t>
      </w:r>
      <w:r w:rsidRPr="0034426D">
        <w:rPr>
          <w:sz w:val="24"/>
          <w:szCs w:val="24"/>
          <w:lang w:val="en-US"/>
        </w:rPr>
        <w:t xml:space="preserve"> inhibiting its activity. </w:t>
      </w:r>
    </w:p>
    <w:p w14:paraId="705DD68C" w14:textId="77777777" w:rsidR="007E72DD" w:rsidRPr="0034426D" w:rsidRDefault="007E72DD" w:rsidP="007E72DD">
      <w:pPr>
        <w:spacing w:line="360" w:lineRule="auto"/>
        <w:contextualSpacing/>
        <w:jc w:val="both"/>
        <w:rPr>
          <w:sz w:val="24"/>
          <w:szCs w:val="24"/>
          <w:lang w:val="en-US"/>
        </w:rPr>
      </w:pPr>
      <w:r w:rsidRPr="0034426D">
        <w:rPr>
          <w:sz w:val="24"/>
          <w:szCs w:val="24"/>
          <w:lang w:val="en-US"/>
        </w:rPr>
        <w:t xml:space="preserve">The choice of CsA or FK506 in organ transplantation depends on immunological risk, recipient characteristics, concomitant immunosuppression and socio-economic factors. Generally, compared with CsA, FK506 shows a better side effect profile and increased long-term survival in patients but, unfortunately, it possesses a very narrow therapeutic window (5-20 ng/ ml whole blood 10-12 hours post-dose). Indeed, FK506 is superior to CsA in improving graft survival and preventing acute rejection after kidney transplantation, but </w:t>
      </w:r>
      <w:r w:rsidR="00100FB3" w:rsidRPr="0034426D">
        <w:rPr>
          <w:sz w:val="24"/>
          <w:szCs w:val="24"/>
          <w:lang w:val="en-US"/>
        </w:rPr>
        <w:t xml:space="preserve">it </w:t>
      </w:r>
      <w:r w:rsidRPr="0034426D">
        <w:rPr>
          <w:sz w:val="24"/>
          <w:szCs w:val="24"/>
          <w:lang w:val="en-US"/>
        </w:rPr>
        <w:t>increases post-transplant diabetes</w:t>
      </w:r>
      <w:r w:rsidR="00100FB3" w:rsidRPr="0034426D">
        <w:rPr>
          <w:sz w:val="24"/>
          <w:szCs w:val="24"/>
          <w:lang w:val="en-US"/>
        </w:rPr>
        <w:t xml:space="preserve"> and</w:t>
      </w:r>
      <w:r w:rsidRPr="0034426D">
        <w:rPr>
          <w:sz w:val="24"/>
          <w:szCs w:val="24"/>
          <w:lang w:val="en-US"/>
        </w:rPr>
        <w:t xml:space="preserve"> neurological and gastrointestinal side effects </w:t>
      </w:r>
      <w:r w:rsidR="00CE28CA" w:rsidRPr="0034426D">
        <w:rPr>
          <w:sz w:val="24"/>
          <w:szCs w:val="24"/>
          <w:lang w:val="en-US"/>
        </w:rPr>
        <w:t>[11</w:t>
      </w:r>
      <w:r w:rsidR="002F4765">
        <w:rPr>
          <w:sz w:val="24"/>
          <w:szCs w:val="24"/>
          <w:lang w:val="en-US"/>
        </w:rPr>
        <w:t>5</w:t>
      </w:r>
      <w:r w:rsidR="00CE28CA" w:rsidRPr="0034426D">
        <w:rPr>
          <w:sz w:val="24"/>
          <w:szCs w:val="24"/>
          <w:lang w:val="en-US"/>
        </w:rPr>
        <w:t>]</w:t>
      </w:r>
      <w:r w:rsidRPr="0034426D">
        <w:rPr>
          <w:sz w:val="24"/>
          <w:szCs w:val="24"/>
          <w:lang w:val="en-US"/>
        </w:rPr>
        <w:t xml:space="preserve">. Nevertheless, the Organ Procurement and Transplantation Network/Scientific Registry of Transplant Recipient 2011 Annual Data Report shows that approximately 90% recipients transplanted in 2010 were initiated on </w:t>
      </w:r>
      <w:r w:rsidR="00100FB3" w:rsidRPr="0034426D">
        <w:rPr>
          <w:sz w:val="24"/>
          <w:szCs w:val="24"/>
          <w:lang w:val="en-US"/>
        </w:rPr>
        <w:t>T</w:t>
      </w:r>
      <w:r w:rsidRPr="0034426D">
        <w:rPr>
          <w:sz w:val="24"/>
          <w:szCs w:val="24"/>
          <w:lang w:val="en-US"/>
        </w:rPr>
        <w:t xml:space="preserve">acrolimus as part of their immunosuppression regimen and were continuing </w:t>
      </w:r>
      <w:r w:rsidR="00100FB3" w:rsidRPr="0034426D">
        <w:rPr>
          <w:sz w:val="24"/>
          <w:szCs w:val="24"/>
          <w:lang w:val="en-US"/>
        </w:rPr>
        <w:t>taking</w:t>
      </w:r>
      <w:r w:rsidRPr="0034426D">
        <w:rPr>
          <w:sz w:val="24"/>
          <w:szCs w:val="24"/>
          <w:lang w:val="en-US"/>
        </w:rPr>
        <w:t xml:space="preserve"> </w:t>
      </w:r>
      <w:r w:rsidR="00100FB3" w:rsidRPr="0034426D">
        <w:rPr>
          <w:sz w:val="24"/>
          <w:szCs w:val="24"/>
          <w:lang w:val="en-US"/>
        </w:rPr>
        <w:t>T</w:t>
      </w:r>
      <w:r w:rsidRPr="0034426D">
        <w:rPr>
          <w:sz w:val="24"/>
          <w:szCs w:val="24"/>
          <w:lang w:val="en-US"/>
        </w:rPr>
        <w:t xml:space="preserve">acrolimus 1 year after kidney transplantation </w:t>
      </w:r>
      <w:r w:rsidR="00CE28CA" w:rsidRPr="0034426D">
        <w:rPr>
          <w:sz w:val="24"/>
          <w:szCs w:val="24"/>
          <w:lang w:val="en-US"/>
        </w:rPr>
        <w:t>[11</w:t>
      </w:r>
      <w:r w:rsidR="002F4765">
        <w:rPr>
          <w:sz w:val="24"/>
          <w:szCs w:val="24"/>
          <w:lang w:val="en-US"/>
        </w:rPr>
        <w:t>6</w:t>
      </w:r>
      <w:r w:rsidR="00CE28CA" w:rsidRPr="0034426D">
        <w:rPr>
          <w:sz w:val="24"/>
          <w:szCs w:val="24"/>
          <w:lang w:val="en-US"/>
        </w:rPr>
        <w:t>]</w:t>
      </w:r>
      <w:r w:rsidRPr="0034426D">
        <w:rPr>
          <w:sz w:val="24"/>
          <w:szCs w:val="24"/>
          <w:lang w:val="en-US"/>
        </w:rPr>
        <w:t>.</w:t>
      </w:r>
    </w:p>
    <w:p w14:paraId="5AFCB6AA" w14:textId="77777777" w:rsidR="00100FB3" w:rsidRPr="0034426D" w:rsidRDefault="007E72DD" w:rsidP="007E72DD">
      <w:pPr>
        <w:spacing w:line="360" w:lineRule="auto"/>
        <w:contextualSpacing/>
        <w:jc w:val="both"/>
        <w:rPr>
          <w:sz w:val="24"/>
          <w:szCs w:val="24"/>
          <w:lang w:val="en-US"/>
        </w:rPr>
      </w:pPr>
      <w:r w:rsidRPr="0034426D">
        <w:rPr>
          <w:sz w:val="24"/>
          <w:szCs w:val="24"/>
          <w:lang w:val="en-US"/>
        </w:rPr>
        <w:t>However, CsA and FK506 are critical-dose drugs both having a narrow therapeutic index</w:t>
      </w:r>
      <w:r w:rsidR="00356B76" w:rsidRPr="0034426D">
        <w:rPr>
          <w:sz w:val="24"/>
          <w:szCs w:val="24"/>
          <w:lang w:val="en-US"/>
        </w:rPr>
        <w:t xml:space="preserve"> and</w:t>
      </w:r>
      <w:r w:rsidRPr="0034426D">
        <w:rPr>
          <w:sz w:val="24"/>
          <w:szCs w:val="24"/>
          <w:lang w:val="en-US"/>
        </w:rPr>
        <w:t xml:space="preserve"> exhibiting the desired therapeutic effect with acceptable tolerability only within a </w:t>
      </w:r>
      <w:r w:rsidR="00100FB3" w:rsidRPr="0034426D">
        <w:rPr>
          <w:sz w:val="24"/>
          <w:szCs w:val="24"/>
          <w:lang w:val="en-US"/>
        </w:rPr>
        <w:t xml:space="preserve">restricted </w:t>
      </w:r>
      <w:r w:rsidRPr="0034426D">
        <w:rPr>
          <w:sz w:val="24"/>
          <w:szCs w:val="24"/>
          <w:lang w:val="en-US"/>
        </w:rPr>
        <w:t xml:space="preserve">range of blood concentrations </w:t>
      </w:r>
      <w:r w:rsidR="00CE28CA" w:rsidRPr="0034426D">
        <w:rPr>
          <w:sz w:val="24"/>
          <w:szCs w:val="24"/>
          <w:lang w:val="en-US"/>
        </w:rPr>
        <w:t>[11</w:t>
      </w:r>
      <w:r w:rsidR="002F4765">
        <w:rPr>
          <w:sz w:val="24"/>
          <w:szCs w:val="24"/>
          <w:lang w:val="en-US"/>
        </w:rPr>
        <w:t>7</w:t>
      </w:r>
      <w:r w:rsidR="00CE28CA" w:rsidRPr="0034426D">
        <w:rPr>
          <w:sz w:val="24"/>
          <w:szCs w:val="24"/>
          <w:lang w:val="en-US"/>
        </w:rPr>
        <w:t>]</w:t>
      </w:r>
      <w:r w:rsidRPr="0034426D">
        <w:rPr>
          <w:sz w:val="24"/>
          <w:szCs w:val="24"/>
          <w:lang w:val="en-US"/>
        </w:rPr>
        <w:t xml:space="preserve">; </w:t>
      </w:r>
      <w:r w:rsidRPr="0034426D">
        <w:rPr>
          <w:color w:val="000000" w:themeColor="text1"/>
          <w:sz w:val="24"/>
          <w:szCs w:val="24"/>
          <w:lang w:val="en-US"/>
        </w:rPr>
        <w:t>furthermore, both immunosuppressant agents exhibit a high degree of intra- and inter-patient pharmacokinetic and pharmacodynamic variability, which increase the possibility of therapeutic failure if used in uniform doses in all patients</w:t>
      </w:r>
      <w:r w:rsidR="00100FB3" w:rsidRPr="0034426D">
        <w:rPr>
          <w:color w:val="000000" w:themeColor="text1"/>
          <w:sz w:val="24"/>
          <w:szCs w:val="24"/>
          <w:lang w:val="en-US"/>
        </w:rPr>
        <w:t>,</w:t>
      </w:r>
      <w:r w:rsidRPr="0034426D">
        <w:rPr>
          <w:color w:val="000000" w:themeColor="text1"/>
          <w:sz w:val="24"/>
          <w:szCs w:val="24"/>
          <w:lang w:val="en-US"/>
        </w:rPr>
        <w:t xml:space="preserve"> </w:t>
      </w:r>
      <w:r w:rsidR="00100FB3" w:rsidRPr="0034426D">
        <w:rPr>
          <w:color w:val="000000" w:themeColor="text1"/>
          <w:sz w:val="24"/>
          <w:szCs w:val="24"/>
          <w:lang w:val="en-US"/>
        </w:rPr>
        <w:t xml:space="preserve">thereafter </w:t>
      </w:r>
      <w:r w:rsidRPr="0034426D">
        <w:rPr>
          <w:color w:val="000000" w:themeColor="text1"/>
          <w:sz w:val="24"/>
          <w:szCs w:val="24"/>
          <w:lang w:val="en-US"/>
        </w:rPr>
        <w:t>oblig</w:t>
      </w:r>
      <w:r w:rsidR="00100FB3" w:rsidRPr="0034426D">
        <w:rPr>
          <w:color w:val="000000" w:themeColor="text1"/>
          <w:sz w:val="24"/>
          <w:szCs w:val="24"/>
          <w:lang w:val="en-US"/>
        </w:rPr>
        <w:t>ing</w:t>
      </w:r>
      <w:r w:rsidRPr="0034426D">
        <w:rPr>
          <w:color w:val="000000" w:themeColor="text1"/>
          <w:sz w:val="24"/>
          <w:szCs w:val="24"/>
          <w:lang w:val="en-US"/>
        </w:rPr>
        <w:t xml:space="preserve"> physicians to a continuous, accurate and expensive therapeutic drug monitoring </w:t>
      </w:r>
      <w:r w:rsidR="00CE28CA" w:rsidRPr="0034426D">
        <w:rPr>
          <w:color w:val="000000" w:themeColor="text1"/>
          <w:sz w:val="24"/>
          <w:szCs w:val="24"/>
          <w:lang w:val="en-US"/>
        </w:rPr>
        <w:t>[11</w:t>
      </w:r>
      <w:r w:rsidR="002F4765">
        <w:rPr>
          <w:color w:val="000000" w:themeColor="text1"/>
          <w:sz w:val="24"/>
          <w:szCs w:val="24"/>
          <w:lang w:val="en-US"/>
        </w:rPr>
        <w:t>8</w:t>
      </w:r>
      <w:r w:rsidR="00CE28CA" w:rsidRPr="0034426D">
        <w:rPr>
          <w:color w:val="000000" w:themeColor="text1"/>
          <w:sz w:val="24"/>
          <w:szCs w:val="24"/>
          <w:lang w:val="en-US"/>
        </w:rPr>
        <w:t>]</w:t>
      </w:r>
      <w:r w:rsidRPr="0034426D">
        <w:rPr>
          <w:sz w:val="24"/>
          <w:szCs w:val="24"/>
          <w:lang w:val="en-US"/>
        </w:rPr>
        <w:t xml:space="preserve">, </w:t>
      </w:r>
      <w:r w:rsidR="00A45CCD" w:rsidRPr="0034426D">
        <w:rPr>
          <w:sz w:val="24"/>
          <w:szCs w:val="24"/>
          <w:lang w:val="en-US"/>
        </w:rPr>
        <w:t xml:space="preserve">especially because of </w:t>
      </w:r>
      <w:r w:rsidR="00100FB3" w:rsidRPr="0034426D">
        <w:rPr>
          <w:sz w:val="24"/>
          <w:szCs w:val="24"/>
          <w:lang w:val="en-US"/>
        </w:rPr>
        <w:t xml:space="preserve">the </w:t>
      </w:r>
      <w:r w:rsidR="00A45CCD" w:rsidRPr="0034426D">
        <w:rPr>
          <w:sz w:val="24"/>
          <w:szCs w:val="24"/>
          <w:lang w:val="en-US"/>
        </w:rPr>
        <w:t xml:space="preserve">narrow </w:t>
      </w:r>
      <w:r w:rsidR="00E259B3">
        <w:rPr>
          <w:sz w:val="24"/>
          <w:szCs w:val="24"/>
          <w:lang w:val="en-US"/>
        </w:rPr>
        <w:t>therapeutic window.</w:t>
      </w:r>
    </w:p>
    <w:p w14:paraId="2BF870B3" w14:textId="77777777" w:rsidR="007E72DD" w:rsidRPr="0034426D" w:rsidRDefault="00100FB3" w:rsidP="007E72DD">
      <w:pPr>
        <w:spacing w:line="360" w:lineRule="auto"/>
        <w:contextualSpacing/>
        <w:jc w:val="both"/>
        <w:rPr>
          <w:color w:val="000000" w:themeColor="text1"/>
          <w:sz w:val="24"/>
          <w:szCs w:val="24"/>
          <w:lang w:val="en-US"/>
        </w:rPr>
      </w:pPr>
      <w:r w:rsidRPr="0034426D">
        <w:rPr>
          <w:sz w:val="24"/>
          <w:szCs w:val="24"/>
          <w:lang w:val="en-US"/>
        </w:rPr>
        <w:t>The high inter-patient pharmacokinetic variability of both CsA [</w:t>
      </w:r>
      <w:r w:rsidR="002F4765">
        <w:rPr>
          <w:sz w:val="24"/>
          <w:szCs w:val="24"/>
          <w:lang w:val="en-US"/>
        </w:rPr>
        <w:t>119</w:t>
      </w:r>
      <w:r w:rsidRPr="0034426D">
        <w:rPr>
          <w:sz w:val="24"/>
          <w:szCs w:val="24"/>
          <w:lang w:val="en-US"/>
        </w:rPr>
        <w:t>] and FK506 [</w:t>
      </w:r>
      <w:r w:rsidR="00B64D58">
        <w:rPr>
          <w:sz w:val="24"/>
          <w:szCs w:val="24"/>
          <w:lang w:val="en-US"/>
        </w:rPr>
        <w:t>12</w:t>
      </w:r>
      <w:r w:rsidR="002F4765">
        <w:rPr>
          <w:sz w:val="24"/>
          <w:szCs w:val="24"/>
          <w:lang w:val="en-US"/>
        </w:rPr>
        <w:t>0</w:t>
      </w:r>
      <w:r w:rsidR="00B64D58">
        <w:rPr>
          <w:sz w:val="24"/>
          <w:szCs w:val="24"/>
          <w:lang w:val="en-US"/>
        </w:rPr>
        <w:t>,12</w:t>
      </w:r>
      <w:r w:rsidR="002F4765">
        <w:rPr>
          <w:sz w:val="24"/>
          <w:szCs w:val="24"/>
          <w:lang w:val="en-US"/>
        </w:rPr>
        <w:t>1</w:t>
      </w:r>
      <w:r w:rsidRPr="0034426D">
        <w:rPr>
          <w:sz w:val="24"/>
          <w:szCs w:val="24"/>
          <w:lang w:val="en-US"/>
        </w:rPr>
        <w:t>] is caused by differences in the first-pass effect determined by drug metabolism and efflux by cytocrome P450 and the intestinal P-glycoprotein (P-gp) efflux pump, respectively [12</w:t>
      </w:r>
      <w:r w:rsidR="002F4765">
        <w:rPr>
          <w:sz w:val="24"/>
          <w:szCs w:val="24"/>
          <w:lang w:val="en-US"/>
        </w:rPr>
        <w:t>2</w:t>
      </w:r>
      <w:r w:rsidRPr="0034426D">
        <w:rPr>
          <w:sz w:val="24"/>
          <w:szCs w:val="24"/>
          <w:lang w:val="en-US"/>
        </w:rPr>
        <w:t xml:space="preserve">], which are characterized by great individual variability. Intra-patient variations are supposed to be </w:t>
      </w:r>
      <w:r w:rsidR="007E72DD" w:rsidRPr="0034426D">
        <w:rPr>
          <w:sz w:val="24"/>
          <w:szCs w:val="24"/>
          <w:lang w:val="en-US"/>
        </w:rPr>
        <w:t>due to episodic absorptive variations caused by co</w:t>
      </w:r>
      <w:r w:rsidR="00CE28CA" w:rsidRPr="0034426D">
        <w:rPr>
          <w:sz w:val="24"/>
          <w:szCs w:val="24"/>
          <w:lang w:val="en-US"/>
        </w:rPr>
        <w:t>-</w:t>
      </w:r>
      <w:r w:rsidR="007E72DD" w:rsidRPr="0034426D">
        <w:rPr>
          <w:sz w:val="24"/>
          <w:szCs w:val="24"/>
          <w:lang w:val="en-US"/>
        </w:rPr>
        <w:t>administered over-the</w:t>
      </w:r>
      <w:r w:rsidR="0092066A" w:rsidRPr="0034426D">
        <w:rPr>
          <w:sz w:val="24"/>
          <w:szCs w:val="24"/>
          <w:lang w:val="en-US"/>
        </w:rPr>
        <w:t>-</w:t>
      </w:r>
      <w:r w:rsidR="007E72DD" w:rsidRPr="0034426D">
        <w:rPr>
          <w:sz w:val="24"/>
          <w:szCs w:val="24"/>
          <w:lang w:val="en-US"/>
        </w:rPr>
        <w:t xml:space="preserve">counter medications and/or a variety of foods in the diet but, whatever the reason, it is associated with increased treatment costs </w:t>
      </w:r>
      <w:r w:rsidR="00CE28CA" w:rsidRPr="0034426D">
        <w:rPr>
          <w:sz w:val="24"/>
          <w:szCs w:val="24"/>
          <w:lang w:val="en-US"/>
        </w:rPr>
        <w:t>[</w:t>
      </w:r>
      <w:r w:rsidR="002F4765" w:rsidRPr="0034426D">
        <w:rPr>
          <w:sz w:val="24"/>
          <w:szCs w:val="24"/>
          <w:lang w:val="en-US"/>
        </w:rPr>
        <w:t>12</w:t>
      </w:r>
      <w:r w:rsidR="002F4765">
        <w:rPr>
          <w:sz w:val="24"/>
          <w:szCs w:val="24"/>
          <w:lang w:val="en-US"/>
        </w:rPr>
        <w:t>3</w:t>
      </w:r>
      <w:r w:rsidR="00CE28CA" w:rsidRPr="0034426D">
        <w:rPr>
          <w:sz w:val="24"/>
          <w:szCs w:val="24"/>
          <w:lang w:val="en-US"/>
        </w:rPr>
        <w:t>]</w:t>
      </w:r>
      <w:r w:rsidR="00312A9D" w:rsidRPr="0034426D">
        <w:rPr>
          <w:sz w:val="24"/>
          <w:szCs w:val="24"/>
          <w:lang w:val="en-US"/>
        </w:rPr>
        <w:t>.</w:t>
      </w:r>
      <w:r w:rsidR="007E72DD" w:rsidRPr="0034426D">
        <w:rPr>
          <w:sz w:val="24"/>
          <w:szCs w:val="24"/>
          <w:lang w:val="en-US"/>
        </w:rPr>
        <w:t xml:space="preserve"> Although intravenous infusion bypasses adsorption and bioavailability issues, anaphylactic reactions</w:t>
      </w:r>
      <w:r w:rsidR="00D76D6C" w:rsidRPr="0034426D">
        <w:rPr>
          <w:sz w:val="24"/>
          <w:szCs w:val="24"/>
          <w:lang w:val="en-US"/>
        </w:rPr>
        <w:t xml:space="preserve"> </w:t>
      </w:r>
      <w:r w:rsidR="007E72DD" w:rsidRPr="0034426D">
        <w:rPr>
          <w:sz w:val="24"/>
          <w:szCs w:val="24"/>
          <w:lang w:val="en-US"/>
        </w:rPr>
        <w:t xml:space="preserve">induced by the vehicle </w:t>
      </w:r>
      <w:r w:rsidR="00CE28CA" w:rsidRPr="0034426D">
        <w:rPr>
          <w:sz w:val="24"/>
          <w:szCs w:val="24"/>
          <w:lang w:val="en-US"/>
        </w:rPr>
        <w:t>utilized</w:t>
      </w:r>
      <w:r w:rsidR="007E72DD" w:rsidRPr="0034426D">
        <w:rPr>
          <w:sz w:val="24"/>
          <w:szCs w:val="24"/>
          <w:lang w:val="en-US"/>
        </w:rPr>
        <w:t xml:space="preserve"> as emulsifiers to </w:t>
      </w:r>
      <w:r w:rsidR="00CE28CA" w:rsidRPr="0034426D">
        <w:rPr>
          <w:sz w:val="24"/>
          <w:szCs w:val="24"/>
          <w:lang w:val="en-US"/>
        </w:rPr>
        <w:t>stabilize</w:t>
      </w:r>
      <w:r w:rsidR="007E72DD" w:rsidRPr="0034426D">
        <w:rPr>
          <w:sz w:val="24"/>
          <w:szCs w:val="24"/>
          <w:lang w:val="en-US"/>
        </w:rPr>
        <w:t xml:space="preserve"> CsA and FK506 in </w:t>
      </w:r>
      <w:r w:rsidR="00CE28CA" w:rsidRPr="0034426D">
        <w:rPr>
          <w:sz w:val="24"/>
          <w:szCs w:val="24"/>
          <w:lang w:val="en-US"/>
        </w:rPr>
        <w:t>aqueous</w:t>
      </w:r>
      <w:r w:rsidR="007E72DD" w:rsidRPr="0034426D">
        <w:rPr>
          <w:sz w:val="24"/>
          <w:szCs w:val="24"/>
          <w:lang w:val="en-US"/>
        </w:rPr>
        <w:t xml:space="preserve"> solutions (Cremophor EL and PEG-60 hydrogenated castor oil, respectively), often compromise this for</w:t>
      </w:r>
      <w:r w:rsidR="00E259B3">
        <w:rPr>
          <w:sz w:val="24"/>
          <w:szCs w:val="24"/>
          <w:lang w:val="en-US"/>
        </w:rPr>
        <w:t>m of parenteral administration.</w:t>
      </w:r>
    </w:p>
    <w:p w14:paraId="75084DCE" w14:textId="77777777" w:rsidR="007E72DD" w:rsidRPr="0034426D" w:rsidRDefault="007E72DD" w:rsidP="007E72DD">
      <w:pPr>
        <w:spacing w:line="360" w:lineRule="auto"/>
        <w:contextualSpacing/>
        <w:jc w:val="both"/>
        <w:rPr>
          <w:rFonts w:eastAsia="Times New Roman" w:cs="Arial"/>
          <w:color w:val="000000"/>
          <w:sz w:val="24"/>
          <w:szCs w:val="24"/>
          <w:lang w:val="en-US"/>
        </w:rPr>
      </w:pPr>
      <w:r w:rsidRPr="0034426D">
        <w:rPr>
          <w:color w:val="000000" w:themeColor="text1"/>
          <w:sz w:val="24"/>
          <w:szCs w:val="24"/>
          <w:lang w:val="en-US"/>
        </w:rPr>
        <w:t>Therefore</w:t>
      </w:r>
      <w:r w:rsidR="00100FB3" w:rsidRPr="0034426D">
        <w:rPr>
          <w:color w:val="000000" w:themeColor="text1"/>
          <w:sz w:val="24"/>
          <w:szCs w:val="24"/>
          <w:lang w:val="en-US"/>
        </w:rPr>
        <w:t>,</w:t>
      </w:r>
      <w:r w:rsidRPr="0034426D">
        <w:rPr>
          <w:color w:val="000000" w:themeColor="text1"/>
          <w:sz w:val="24"/>
          <w:szCs w:val="24"/>
          <w:lang w:val="en-US"/>
        </w:rPr>
        <w:t xml:space="preserve"> it is understandable how the highly variable pharmacokinetics of CsA and FK506 and, even more, their narrow therapeutic window, remain a great challenge for the optimization of </w:t>
      </w:r>
      <w:r w:rsidRPr="0034426D">
        <w:rPr>
          <w:color w:val="000000" w:themeColor="text1"/>
          <w:sz w:val="24"/>
          <w:szCs w:val="24"/>
          <w:lang w:val="en-US"/>
        </w:rPr>
        <w:lastRenderedPageBreak/>
        <w:t xml:space="preserve">immunosuppressant therapy and how the accurate drug blood concentration monitoring is necessary </w:t>
      </w:r>
      <w:r w:rsidR="00100FB3" w:rsidRPr="0034426D">
        <w:rPr>
          <w:color w:val="000000" w:themeColor="text1"/>
          <w:sz w:val="24"/>
          <w:szCs w:val="24"/>
          <w:lang w:val="en-US"/>
        </w:rPr>
        <w:t xml:space="preserve">to </w:t>
      </w:r>
      <w:r w:rsidRPr="0034426D">
        <w:rPr>
          <w:color w:val="000000" w:themeColor="text1"/>
          <w:sz w:val="24"/>
          <w:szCs w:val="24"/>
          <w:lang w:val="en-US"/>
        </w:rPr>
        <w:t xml:space="preserve">control treatment efficacy and possible adverse effects. </w:t>
      </w:r>
      <w:r w:rsidR="00100FB3" w:rsidRPr="0034426D">
        <w:rPr>
          <w:color w:val="000000" w:themeColor="text1"/>
          <w:sz w:val="24"/>
          <w:szCs w:val="24"/>
          <w:lang w:val="en-US"/>
        </w:rPr>
        <w:t>In r</w:t>
      </w:r>
      <w:r w:rsidRPr="0034426D">
        <w:rPr>
          <w:color w:val="000000" w:themeColor="text1"/>
          <w:sz w:val="24"/>
          <w:szCs w:val="24"/>
          <w:lang w:val="en-US"/>
        </w:rPr>
        <w:t xml:space="preserve">espect of the latter, several assays have been developed for the quantification of the drugs in biological samples; </w:t>
      </w:r>
      <w:r w:rsidRPr="0034426D">
        <w:rPr>
          <w:rFonts w:eastAsia="Times New Roman" w:cs="Arial"/>
          <w:color w:val="000000"/>
          <w:sz w:val="24"/>
          <w:szCs w:val="24"/>
          <w:lang w:val="en-US"/>
        </w:rPr>
        <w:t>in a routine clinical pathology laboratory</w:t>
      </w:r>
      <w:r w:rsidRPr="0034426D">
        <w:rPr>
          <w:color w:val="000000" w:themeColor="text1"/>
          <w:sz w:val="24"/>
          <w:szCs w:val="24"/>
          <w:lang w:val="en-US"/>
        </w:rPr>
        <w:t xml:space="preserve">, </w:t>
      </w:r>
      <w:r w:rsidRPr="0034426D">
        <w:rPr>
          <w:rFonts w:eastAsia="Times New Roman" w:cs="Arial"/>
          <w:color w:val="000000"/>
          <w:sz w:val="24"/>
          <w:szCs w:val="24"/>
          <w:lang w:val="en-US"/>
        </w:rPr>
        <w:t xml:space="preserve">antibody-conjugated magnetic immunoassay (ACMIA) is the most common method providing </w:t>
      </w:r>
      <w:r w:rsidRPr="0034426D">
        <w:rPr>
          <w:color w:val="000000" w:themeColor="text1"/>
          <w:sz w:val="24"/>
          <w:szCs w:val="24"/>
          <w:lang w:val="en-US"/>
        </w:rPr>
        <w:t xml:space="preserve">accurate and reliable results consistent with those obtained with the </w:t>
      </w:r>
      <w:r w:rsidRPr="0034426D">
        <w:rPr>
          <w:rFonts w:eastAsia="Times New Roman" w:cs="Arial"/>
          <w:color w:val="000000"/>
          <w:sz w:val="24"/>
          <w:szCs w:val="24"/>
          <w:lang w:val="en-US"/>
        </w:rPr>
        <w:t>commercially</w:t>
      </w:r>
      <w:r w:rsidR="00594614" w:rsidRPr="0034426D">
        <w:rPr>
          <w:rFonts w:eastAsia="Times New Roman" w:cs="Arial"/>
          <w:color w:val="000000"/>
          <w:sz w:val="24"/>
          <w:szCs w:val="24"/>
          <w:lang w:val="en-US"/>
        </w:rPr>
        <w:t xml:space="preserve"> </w:t>
      </w:r>
      <w:r w:rsidRPr="0034426D">
        <w:rPr>
          <w:rFonts w:eastAsia="Times New Roman" w:cs="Arial"/>
          <w:color w:val="000000"/>
          <w:sz w:val="24"/>
          <w:szCs w:val="24"/>
          <w:lang w:val="en-US"/>
        </w:rPr>
        <w:t>available</w:t>
      </w:r>
      <w:r w:rsidR="00594614" w:rsidRPr="0034426D">
        <w:rPr>
          <w:rFonts w:eastAsia="Times New Roman" w:cs="Arial"/>
          <w:color w:val="000000"/>
          <w:sz w:val="24"/>
          <w:szCs w:val="24"/>
          <w:lang w:val="en-US"/>
        </w:rPr>
        <w:t xml:space="preserve"> </w:t>
      </w:r>
      <w:r w:rsidRPr="0034426D">
        <w:rPr>
          <w:rFonts w:eastAsia="Times New Roman" w:cs="Arial"/>
          <w:color w:val="000000"/>
          <w:sz w:val="24"/>
          <w:szCs w:val="24"/>
          <w:lang w:val="en-US"/>
        </w:rPr>
        <w:t xml:space="preserve">liquid chromatography tandem mass spectrometry (LC-MS/MS) method which, however, requires more costs, organization and availability of skilled personnel </w:t>
      </w:r>
      <w:r w:rsidR="00CE28CA" w:rsidRPr="0034426D">
        <w:rPr>
          <w:rFonts w:eastAsia="Times New Roman" w:cs="Arial"/>
          <w:color w:val="000000"/>
          <w:sz w:val="24"/>
          <w:szCs w:val="24"/>
          <w:lang w:val="en-US"/>
        </w:rPr>
        <w:t>[12</w:t>
      </w:r>
      <w:r w:rsidR="002F4765">
        <w:rPr>
          <w:rFonts w:eastAsia="Times New Roman" w:cs="Arial"/>
          <w:color w:val="000000"/>
          <w:sz w:val="24"/>
          <w:szCs w:val="24"/>
          <w:lang w:val="en-US"/>
        </w:rPr>
        <w:t>4</w:t>
      </w:r>
      <w:r w:rsidR="00CE28CA" w:rsidRPr="0034426D">
        <w:rPr>
          <w:rFonts w:eastAsia="Times New Roman" w:cs="Arial"/>
          <w:color w:val="000000"/>
          <w:sz w:val="24"/>
          <w:szCs w:val="24"/>
          <w:lang w:val="en-US"/>
        </w:rPr>
        <w:t>]</w:t>
      </w:r>
      <w:r w:rsidRPr="0034426D">
        <w:rPr>
          <w:rFonts w:eastAsia="Times New Roman" w:cs="Arial"/>
          <w:color w:val="000000"/>
          <w:sz w:val="24"/>
          <w:szCs w:val="24"/>
          <w:lang w:val="en-US"/>
        </w:rPr>
        <w:t xml:space="preserve">. More recently, an immune atomic force microscopy (AFM)-based method for the quantitative analysis of FK506 (but easy to use </w:t>
      </w:r>
      <w:r w:rsidR="0065600A" w:rsidRPr="0034426D">
        <w:rPr>
          <w:rFonts w:eastAsia="Times New Roman" w:cs="Arial"/>
          <w:color w:val="000000"/>
          <w:sz w:val="24"/>
          <w:szCs w:val="24"/>
          <w:lang w:val="en-US"/>
        </w:rPr>
        <w:t xml:space="preserve">also </w:t>
      </w:r>
      <w:r w:rsidRPr="0034426D">
        <w:rPr>
          <w:rFonts w:eastAsia="Times New Roman" w:cs="Arial"/>
          <w:color w:val="000000"/>
          <w:sz w:val="24"/>
          <w:szCs w:val="24"/>
          <w:lang w:val="en-US"/>
        </w:rPr>
        <w:t>for CsA detection), able to provide drug</w:t>
      </w:r>
      <w:r w:rsidR="00D76D6C" w:rsidRPr="0034426D">
        <w:rPr>
          <w:rFonts w:eastAsia="Times New Roman" w:cs="Arial"/>
          <w:color w:val="000000"/>
          <w:sz w:val="24"/>
          <w:szCs w:val="24"/>
          <w:lang w:val="en-US"/>
        </w:rPr>
        <w:t xml:space="preserve"> </w:t>
      </w:r>
      <w:r w:rsidRPr="0034426D">
        <w:rPr>
          <w:rFonts w:eastAsia="Times New Roman" w:cs="Arial"/>
          <w:color w:val="000000"/>
          <w:sz w:val="24"/>
          <w:szCs w:val="24"/>
          <w:lang w:val="en-US"/>
        </w:rPr>
        <w:t xml:space="preserve">concentration closer to the immunosuppressive activity found in the patient’s blood has been developed </w:t>
      </w:r>
      <w:r w:rsidR="00CE28CA" w:rsidRPr="0034426D">
        <w:rPr>
          <w:rFonts w:eastAsia="Times New Roman" w:cs="Arial"/>
          <w:color w:val="000000"/>
          <w:sz w:val="24"/>
          <w:szCs w:val="24"/>
          <w:lang w:val="en-US"/>
        </w:rPr>
        <w:t>[12</w:t>
      </w:r>
      <w:r w:rsidR="002F4765">
        <w:rPr>
          <w:rFonts w:eastAsia="Times New Roman" w:cs="Arial"/>
          <w:color w:val="000000"/>
          <w:sz w:val="24"/>
          <w:szCs w:val="24"/>
          <w:lang w:val="en-US"/>
        </w:rPr>
        <w:t>5</w:t>
      </w:r>
      <w:r w:rsidR="00CE28CA" w:rsidRPr="0034426D">
        <w:rPr>
          <w:rFonts w:eastAsia="Times New Roman" w:cs="Arial"/>
          <w:color w:val="000000"/>
          <w:sz w:val="24"/>
          <w:szCs w:val="24"/>
          <w:lang w:val="en-US"/>
        </w:rPr>
        <w:t>]</w:t>
      </w:r>
      <w:r w:rsidRPr="0034426D">
        <w:rPr>
          <w:rFonts w:eastAsia="Times New Roman" w:cs="Arial"/>
          <w:color w:val="000000"/>
          <w:sz w:val="24"/>
          <w:szCs w:val="24"/>
          <w:lang w:val="en-US"/>
        </w:rPr>
        <w:t>; it might permit in the future a rapid, highly sensitive drug quantification with no need for large equipment or facilities.</w:t>
      </w:r>
    </w:p>
    <w:p w14:paraId="5A9DBC50" w14:textId="77777777" w:rsidR="007E72DD" w:rsidRPr="0034426D" w:rsidRDefault="007E72DD" w:rsidP="007E72DD">
      <w:pPr>
        <w:spacing w:line="360" w:lineRule="auto"/>
        <w:contextualSpacing/>
        <w:jc w:val="both"/>
        <w:rPr>
          <w:rFonts w:eastAsia="Times New Roman" w:cs="Arial"/>
          <w:color w:val="000000"/>
          <w:sz w:val="24"/>
          <w:szCs w:val="24"/>
          <w:lang w:val="en-US"/>
        </w:rPr>
      </w:pPr>
      <w:r w:rsidRPr="0034426D">
        <w:rPr>
          <w:rFonts w:eastAsia="Times New Roman" w:cs="Arial"/>
          <w:color w:val="000000"/>
          <w:sz w:val="24"/>
          <w:szCs w:val="24"/>
          <w:lang w:val="en-US"/>
        </w:rPr>
        <w:t>If on the one hand, at the moment, therapeutic drug monitoring (TDM) challenge is under control and susceptible of improvement in the future, the limitations related to pharmacokinetic</w:t>
      </w:r>
      <w:r w:rsidR="00312A9D" w:rsidRPr="0034426D">
        <w:rPr>
          <w:rFonts w:eastAsia="Times New Roman" w:cs="Arial"/>
          <w:color w:val="000000"/>
          <w:sz w:val="24"/>
          <w:szCs w:val="24"/>
          <w:lang w:val="en-US"/>
        </w:rPr>
        <w:t>s</w:t>
      </w:r>
      <w:r w:rsidRPr="0034426D">
        <w:rPr>
          <w:rFonts w:eastAsia="Times New Roman" w:cs="Arial"/>
          <w:color w:val="000000"/>
          <w:sz w:val="24"/>
          <w:szCs w:val="24"/>
          <w:lang w:val="en-US"/>
        </w:rPr>
        <w:t xml:space="preserve"> are still a non-exceeded challenge. </w:t>
      </w:r>
      <w:r w:rsidR="00594614" w:rsidRPr="0034426D">
        <w:rPr>
          <w:rFonts w:eastAsia="Times New Roman" w:cs="Arial"/>
          <w:color w:val="000000"/>
          <w:sz w:val="24"/>
          <w:szCs w:val="24"/>
          <w:lang w:val="en-US"/>
        </w:rPr>
        <w:t>RB</w:t>
      </w:r>
      <w:r w:rsidR="00CE28CA" w:rsidRPr="0034426D">
        <w:rPr>
          <w:rFonts w:eastAsia="Times New Roman" w:cs="Arial"/>
          <w:color w:val="000000"/>
          <w:sz w:val="24"/>
          <w:szCs w:val="24"/>
          <w:lang w:val="en-US"/>
        </w:rPr>
        <w:t>C</w:t>
      </w:r>
      <w:r w:rsidR="00594614" w:rsidRPr="0034426D">
        <w:rPr>
          <w:rFonts w:eastAsia="Times New Roman" w:cs="Arial"/>
          <w:color w:val="000000"/>
          <w:sz w:val="24"/>
          <w:szCs w:val="24"/>
          <w:lang w:val="en-US"/>
        </w:rPr>
        <w:t>s</w:t>
      </w:r>
      <w:r w:rsidRPr="0034426D">
        <w:rPr>
          <w:rFonts w:eastAsia="Times New Roman" w:cs="Arial"/>
          <w:color w:val="000000"/>
          <w:sz w:val="24"/>
          <w:szCs w:val="24"/>
          <w:lang w:val="en-US"/>
        </w:rPr>
        <w:t xml:space="preserve"> might also in this case act as an effective delivery system capable of facilitating the use of critical-dose drugs such as </w:t>
      </w:r>
      <w:r w:rsidR="00CE28CA" w:rsidRPr="0034426D">
        <w:rPr>
          <w:rFonts w:eastAsia="Times New Roman" w:cs="Arial"/>
          <w:color w:val="000000"/>
          <w:sz w:val="24"/>
          <w:szCs w:val="24"/>
          <w:lang w:val="en-US"/>
        </w:rPr>
        <w:t>immunosuppressants</w:t>
      </w:r>
      <w:r w:rsidRPr="0034426D">
        <w:rPr>
          <w:rFonts w:eastAsia="Times New Roman" w:cs="Arial"/>
          <w:color w:val="000000"/>
          <w:sz w:val="24"/>
          <w:szCs w:val="24"/>
          <w:lang w:val="en-US"/>
        </w:rPr>
        <w:t xml:space="preserve">. Their exploitation in this direction is closely related to the physiological role played by </w:t>
      </w:r>
      <w:r w:rsidR="00594614" w:rsidRPr="0034426D">
        <w:rPr>
          <w:rFonts w:eastAsia="Times New Roman" w:cs="Arial"/>
          <w:color w:val="000000"/>
          <w:sz w:val="24"/>
          <w:szCs w:val="24"/>
          <w:lang w:val="en-US"/>
        </w:rPr>
        <w:t>RBC</w:t>
      </w:r>
      <w:r w:rsidRPr="0034426D">
        <w:rPr>
          <w:rFonts w:eastAsia="Times New Roman" w:cs="Arial"/>
          <w:color w:val="000000"/>
          <w:sz w:val="24"/>
          <w:szCs w:val="24"/>
          <w:lang w:val="en-US"/>
        </w:rPr>
        <w:t xml:space="preserve">s when </w:t>
      </w:r>
      <w:r w:rsidR="0065600A" w:rsidRPr="0034426D">
        <w:rPr>
          <w:rFonts w:eastAsia="Times New Roman" w:cs="Arial"/>
          <w:color w:val="000000"/>
          <w:sz w:val="24"/>
          <w:szCs w:val="24"/>
          <w:lang w:val="en-US"/>
        </w:rPr>
        <w:t xml:space="preserve">they </w:t>
      </w:r>
      <w:r w:rsidR="00864A12" w:rsidRPr="0034426D">
        <w:rPr>
          <w:rFonts w:eastAsia="Times New Roman" w:cs="Arial"/>
          <w:color w:val="000000"/>
          <w:sz w:val="24"/>
          <w:szCs w:val="24"/>
          <w:lang w:val="en-US"/>
        </w:rPr>
        <w:t xml:space="preserve">are </w:t>
      </w:r>
      <w:r w:rsidRPr="0034426D">
        <w:rPr>
          <w:rFonts w:eastAsia="Times New Roman" w:cs="Arial"/>
          <w:color w:val="000000"/>
          <w:sz w:val="24"/>
          <w:szCs w:val="24"/>
          <w:lang w:val="en-US"/>
        </w:rPr>
        <w:t>in the presence of the immunosuppressant agents CsA and FK506; indeed, after administration, either injected or absorbed into the body, these immunosuppressant</w:t>
      </w:r>
      <w:r w:rsidR="0065600A" w:rsidRPr="0034426D">
        <w:rPr>
          <w:rFonts w:eastAsia="Times New Roman" w:cs="Arial"/>
          <w:color w:val="000000"/>
          <w:sz w:val="24"/>
          <w:szCs w:val="24"/>
          <w:lang w:val="en-US"/>
        </w:rPr>
        <w:t>s</w:t>
      </w:r>
      <w:r w:rsidR="009F155A">
        <w:rPr>
          <w:rFonts w:eastAsia="Times New Roman" w:cs="Arial"/>
          <w:color w:val="000000"/>
          <w:sz w:val="24"/>
          <w:szCs w:val="24"/>
          <w:lang w:val="en-US"/>
        </w:rPr>
        <w:t xml:space="preserve"> </w:t>
      </w:r>
      <w:r w:rsidRPr="0034426D">
        <w:rPr>
          <w:rFonts w:eastAsia="Times New Roman" w:cs="Arial"/>
          <w:color w:val="000000"/>
          <w:sz w:val="24"/>
          <w:szCs w:val="24"/>
          <w:lang w:val="en-US"/>
        </w:rPr>
        <w:t xml:space="preserve">are mainly and readily associated to </w:t>
      </w:r>
      <w:r w:rsidR="00594614" w:rsidRPr="0034426D">
        <w:rPr>
          <w:rFonts w:eastAsia="Times New Roman" w:cs="Arial"/>
          <w:color w:val="000000"/>
          <w:sz w:val="24"/>
          <w:szCs w:val="24"/>
          <w:lang w:val="en-US"/>
        </w:rPr>
        <w:t>RBCs</w:t>
      </w:r>
      <w:r w:rsidRPr="0034426D">
        <w:rPr>
          <w:rFonts w:eastAsia="Times New Roman" w:cs="Arial"/>
          <w:color w:val="000000"/>
          <w:sz w:val="24"/>
          <w:szCs w:val="24"/>
          <w:lang w:val="en-US"/>
        </w:rPr>
        <w:t>. In detail, more than 70% CsA is bound to the erythrocyte peptidyl-prolyl cis-trans isomerase CypA with a total cell binding capacity of 43 x 10</w:t>
      </w:r>
      <w:r w:rsidRPr="0034426D">
        <w:rPr>
          <w:rFonts w:eastAsia="Times New Roman" w:cs="Arial"/>
          <w:color w:val="000000"/>
          <w:sz w:val="24"/>
          <w:szCs w:val="24"/>
          <w:vertAlign w:val="superscript"/>
          <w:lang w:val="en-US"/>
        </w:rPr>
        <w:t>-5</w:t>
      </w:r>
      <w:r w:rsidRPr="0034426D">
        <w:rPr>
          <w:rFonts w:eastAsia="Times New Roman" w:cs="Arial"/>
          <w:color w:val="000000"/>
          <w:sz w:val="24"/>
          <w:szCs w:val="24"/>
          <w:lang w:val="en-US"/>
        </w:rPr>
        <w:t xml:space="preserve"> nmol per 10</w:t>
      </w:r>
      <w:r w:rsidRPr="0034426D">
        <w:rPr>
          <w:rFonts w:eastAsia="Times New Roman" w:cs="Arial"/>
          <w:color w:val="000000"/>
          <w:sz w:val="24"/>
          <w:szCs w:val="24"/>
          <w:vertAlign w:val="superscript"/>
          <w:lang w:val="en-US"/>
        </w:rPr>
        <w:t>6</w:t>
      </w:r>
      <w:r w:rsidRPr="0034426D">
        <w:rPr>
          <w:rFonts w:eastAsia="Times New Roman" w:cs="Arial"/>
          <w:color w:val="000000"/>
          <w:sz w:val="24"/>
          <w:szCs w:val="24"/>
          <w:lang w:val="en-US"/>
        </w:rPr>
        <w:t xml:space="preserve"> RBCs that corresponds to 2 µg CsA/ml RBC suspension at physiological haematocrit </w:t>
      </w:r>
      <w:r w:rsidR="00CE28CA" w:rsidRPr="0034426D">
        <w:rPr>
          <w:rFonts w:eastAsia="Times New Roman" w:cs="Arial"/>
          <w:color w:val="000000"/>
          <w:sz w:val="24"/>
          <w:szCs w:val="24"/>
          <w:lang w:val="en-US"/>
        </w:rPr>
        <w:t>[</w:t>
      </w:r>
      <w:r w:rsidR="002F4765" w:rsidRPr="0034426D">
        <w:rPr>
          <w:rFonts w:eastAsia="Times New Roman" w:cs="Arial"/>
          <w:color w:val="000000"/>
          <w:sz w:val="24"/>
          <w:szCs w:val="24"/>
          <w:lang w:val="en-US"/>
        </w:rPr>
        <w:t>12</w:t>
      </w:r>
      <w:r w:rsidR="002F4765">
        <w:rPr>
          <w:rFonts w:eastAsia="Times New Roman" w:cs="Arial"/>
          <w:color w:val="000000"/>
          <w:sz w:val="24"/>
          <w:szCs w:val="24"/>
          <w:lang w:val="en-US"/>
        </w:rPr>
        <w:t>6</w:t>
      </w:r>
      <w:r w:rsidR="00CE28CA" w:rsidRPr="0034426D">
        <w:rPr>
          <w:rFonts w:eastAsia="Times New Roman" w:cs="Arial"/>
          <w:color w:val="000000"/>
          <w:sz w:val="24"/>
          <w:szCs w:val="24"/>
          <w:lang w:val="en-US"/>
        </w:rPr>
        <w:t xml:space="preserve">] </w:t>
      </w:r>
      <w:r w:rsidRPr="0034426D">
        <w:rPr>
          <w:rFonts w:eastAsia="Times New Roman" w:cs="Arial"/>
          <w:color w:val="000000"/>
          <w:sz w:val="24"/>
          <w:szCs w:val="24"/>
          <w:lang w:val="en-US"/>
        </w:rPr>
        <w:t>and more than 80% (85.3 ± 1.5%) FK506 is bound to the two types of erythrocyte immunophilins, the above cited FKBP12 with peptidyl-prolyl cis-trans isomerase activity too and FKBP-13, a 13-kDa membrane associated protein, with a cell total binding capacity around 440 ng/ml of blood (1.0</w:t>
      </w:r>
      <w:r w:rsidRPr="0034426D">
        <w:rPr>
          <w:color w:val="000000" w:themeColor="text1"/>
          <w:sz w:val="24"/>
          <w:szCs w:val="24"/>
          <w:lang w:val="en-US"/>
        </w:rPr>
        <w:t>±0.3 µg/ml packed RBCs)</w:t>
      </w:r>
      <w:r w:rsidRPr="0034426D">
        <w:rPr>
          <w:rFonts w:eastAsia="Times New Roman" w:cs="Arial"/>
          <w:color w:val="000000"/>
          <w:sz w:val="24"/>
          <w:szCs w:val="24"/>
          <w:lang w:val="en-US"/>
        </w:rPr>
        <w:t xml:space="preserve">, while only 0.46% FK506 is bound to lymphocytes </w:t>
      </w:r>
      <w:r w:rsidR="00CE28CA" w:rsidRPr="0034426D">
        <w:rPr>
          <w:rFonts w:eastAsia="Times New Roman" w:cs="Arial"/>
          <w:color w:val="000000"/>
          <w:sz w:val="24"/>
          <w:szCs w:val="24"/>
          <w:lang w:val="en-US"/>
        </w:rPr>
        <w:t>[12</w:t>
      </w:r>
      <w:r w:rsidR="002F4765">
        <w:rPr>
          <w:rFonts w:eastAsia="Times New Roman" w:cs="Arial"/>
          <w:color w:val="000000"/>
          <w:sz w:val="24"/>
          <w:szCs w:val="24"/>
          <w:lang w:val="en-US"/>
        </w:rPr>
        <w:t>7</w:t>
      </w:r>
      <w:r w:rsidR="00CE28CA" w:rsidRPr="0034426D">
        <w:rPr>
          <w:rFonts w:eastAsia="Times New Roman" w:cs="Arial"/>
          <w:color w:val="000000"/>
          <w:sz w:val="24"/>
          <w:szCs w:val="24"/>
          <w:lang w:val="en-US"/>
        </w:rPr>
        <w:t>-</w:t>
      </w:r>
      <w:r w:rsidR="00B64D58" w:rsidRPr="0034426D">
        <w:rPr>
          <w:rFonts w:eastAsia="Times New Roman" w:cs="Arial"/>
          <w:color w:val="000000"/>
          <w:sz w:val="24"/>
          <w:szCs w:val="24"/>
          <w:lang w:val="en-US"/>
        </w:rPr>
        <w:t>1</w:t>
      </w:r>
      <w:r w:rsidR="002F4765">
        <w:rPr>
          <w:rFonts w:eastAsia="Times New Roman" w:cs="Arial"/>
          <w:color w:val="000000"/>
          <w:sz w:val="24"/>
          <w:szCs w:val="24"/>
          <w:lang w:val="en-US"/>
        </w:rPr>
        <w:t>29</w:t>
      </w:r>
      <w:r w:rsidR="00CE28CA" w:rsidRPr="0034426D">
        <w:rPr>
          <w:rFonts w:eastAsia="Times New Roman" w:cs="Arial"/>
          <w:color w:val="000000"/>
          <w:sz w:val="24"/>
          <w:szCs w:val="24"/>
          <w:lang w:val="en-US"/>
        </w:rPr>
        <w:t>]</w:t>
      </w:r>
      <w:r w:rsidRPr="0034426D">
        <w:rPr>
          <w:rFonts w:eastAsia="Times New Roman" w:cs="Arial"/>
          <w:color w:val="000000"/>
          <w:sz w:val="24"/>
          <w:szCs w:val="24"/>
          <w:lang w:val="en-US"/>
        </w:rPr>
        <w:t xml:space="preserve">. </w:t>
      </w:r>
      <w:r w:rsidR="0065600A" w:rsidRPr="0034426D">
        <w:rPr>
          <w:rFonts w:eastAsia="Times New Roman" w:cs="Arial"/>
          <w:color w:val="000000"/>
          <w:sz w:val="24"/>
          <w:szCs w:val="24"/>
          <w:lang w:val="en-US"/>
        </w:rPr>
        <w:t>T</w:t>
      </w:r>
      <w:r w:rsidRPr="0034426D">
        <w:rPr>
          <w:rFonts w:eastAsia="Times New Roman" w:cs="Arial"/>
          <w:color w:val="000000"/>
          <w:sz w:val="24"/>
          <w:szCs w:val="24"/>
          <w:lang w:val="en-US"/>
        </w:rPr>
        <w:t>he remaining percentages</w:t>
      </w:r>
      <w:r w:rsidR="0065600A" w:rsidRPr="0034426D">
        <w:rPr>
          <w:rFonts w:eastAsia="Times New Roman" w:cs="Arial"/>
          <w:color w:val="000000"/>
          <w:sz w:val="24"/>
          <w:szCs w:val="24"/>
          <w:lang w:val="en-US"/>
        </w:rPr>
        <w:t xml:space="preserve"> of the</w:t>
      </w:r>
      <w:r w:rsidRPr="0034426D">
        <w:rPr>
          <w:rFonts w:eastAsia="Times New Roman" w:cs="Arial"/>
          <w:color w:val="000000"/>
          <w:sz w:val="24"/>
          <w:szCs w:val="24"/>
          <w:lang w:val="en-US"/>
        </w:rPr>
        <w:t xml:space="preserve"> drugs are mainly associated with plasma proteins</w:t>
      </w:r>
      <w:r w:rsidR="0065600A" w:rsidRPr="0034426D">
        <w:rPr>
          <w:rFonts w:eastAsia="Times New Roman" w:cs="Arial"/>
          <w:color w:val="000000"/>
          <w:sz w:val="24"/>
          <w:szCs w:val="24"/>
          <w:lang w:val="en-US"/>
        </w:rPr>
        <w:t>,</w:t>
      </w:r>
      <w:r w:rsidRPr="0034426D">
        <w:rPr>
          <w:rFonts w:eastAsia="Times New Roman" w:cs="Arial"/>
          <w:color w:val="000000"/>
          <w:sz w:val="24"/>
          <w:szCs w:val="24"/>
          <w:lang w:val="en-US"/>
        </w:rPr>
        <w:t xml:space="preserve"> </w:t>
      </w:r>
      <w:r w:rsidR="0065600A" w:rsidRPr="0034426D">
        <w:rPr>
          <w:rFonts w:eastAsia="Times New Roman" w:cs="Arial"/>
          <w:color w:val="000000"/>
          <w:sz w:val="24"/>
          <w:szCs w:val="24"/>
          <w:lang w:val="en-US"/>
        </w:rPr>
        <w:t>with</w:t>
      </w:r>
      <w:r w:rsidRPr="0034426D">
        <w:rPr>
          <w:rFonts w:eastAsia="Times New Roman" w:cs="Arial"/>
          <w:color w:val="000000"/>
          <w:sz w:val="24"/>
          <w:szCs w:val="24"/>
          <w:lang w:val="en-US"/>
        </w:rPr>
        <w:t xml:space="preserve"> only little amounts represented by free, unbound active agents</w:t>
      </w:r>
      <w:r w:rsidR="004370D7" w:rsidRPr="0034426D">
        <w:rPr>
          <w:rFonts w:eastAsia="Times New Roman" w:cs="Arial"/>
          <w:color w:val="000000"/>
          <w:sz w:val="24"/>
          <w:szCs w:val="24"/>
          <w:lang w:val="en-US"/>
        </w:rPr>
        <w:t xml:space="preserve"> </w:t>
      </w:r>
      <w:r w:rsidR="00CE28CA" w:rsidRPr="0034426D">
        <w:rPr>
          <w:rFonts w:eastAsia="Times New Roman" w:cs="Arial"/>
          <w:color w:val="000000"/>
          <w:sz w:val="24"/>
          <w:szCs w:val="24"/>
          <w:lang w:val="en-US"/>
        </w:rPr>
        <w:t>[</w:t>
      </w:r>
      <w:r w:rsidR="00B64D58">
        <w:rPr>
          <w:rFonts w:eastAsia="Times New Roman" w:cs="Arial"/>
          <w:color w:val="000000"/>
          <w:sz w:val="24"/>
          <w:szCs w:val="24"/>
          <w:lang w:val="en-US"/>
        </w:rPr>
        <w:t>13</w:t>
      </w:r>
      <w:r w:rsidR="004B5FC9">
        <w:rPr>
          <w:rFonts w:eastAsia="Times New Roman" w:cs="Arial"/>
          <w:color w:val="000000"/>
          <w:sz w:val="24"/>
          <w:szCs w:val="24"/>
          <w:lang w:val="en-US"/>
        </w:rPr>
        <w:t>0</w:t>
      </w:r>
      <w:r w:rsidR="00B64D58">
        <w:rPr>
          <w:rFonts w:eastAsia="Times New Roman" w:cs="Arial"/>
          <w:color w:val="000000"/>
          <w:sz w:val="24"/>
          <w:szCs w:val="24"/>
          <w:lang w:val="en-US"/>
        </w:rPr>
        <w:t>,13</w:t>
      </w:r>
      <w:r w:rsidR="004B5FC9">
        <w:rPr>
          <w:rFonts w:eastAsia="Times New Roman" w:cs="Arial"/>
          <w:color w:val="000000"/>
          <w:sz w:val="24"/>
          <w:szCs w:val="24"/>
          <w:lang w:val="en-US"/>
        </w:rPr>
        <w:t>1</w:t>
      </w:r>
      <w:r w:rsidR="00CE28CA" w:rsidRPr="0034426D">
        <w:rPr>
          <w:rFonts w:eastAsia="Times New Roman" w:cs="Arial"/>
          <w:color w:val="000000"/>
          <w:sz w:val="24"/>
          <w:szCs w:val="24"/>
          <w:lang w:val="en-US"/>
        </w:rPr>
        <w:t>]</w:t>
      </w:r>
      <w:r w:rsidR="004370D7" w:rsidRPr="0034426D">
        <w:rPr>
          <w:rFonts w:eastAsia="Times New Roman" w:cs="Arial"/>
          <w:color w:val="000000"/>
          <w:sz w:val="24"/>
          <w:szCs w:val="24"/>
          <w:lang w:val="en-US"/>
        </w:rPr>
        <w:t>.</w:t>
      </w:r>
    </w:p>
    <w:p w14:paraId="704E393A" w14:textId="77777777" w:rsidR="007E72DD" w:rsidRPr="0034426D" w:rsidRDefault="007E72DD" w:rsidP="007E72DD">
      <w:pPr>
        <w:spacing w:line="360" w:lineRule="auto"/>
        <w:contextualSpacing/>
        <w:jc w:val="both"/>
        <w:rPr>
          <w:color w:val="000000" w:themeColor="text1"/>
          <w:sz w:val="24"/>
          <w:szCs w:val="24"/>
          <w:lang w:val="en-US"/>
        </w:rPr>
      </w:pPr>
      <w:r w:rsidRPr="0034426D">
        <w:rPr>
          <w:rFonts w:eastAsia="Times New Roman" w:cs="Arial"/>
          <w:color w:val="000000"/>
          <w:sz w:val="24"/>
          <w:szCs w:val="24"/>
          <w:lang w:val="en-US"/>
        </w:rPr>
        <w:t xml:space="preserve">Starting from this physiological tendency of CsA and FK506 to be recruited </w:t>
      </w:r>
      <w:r w:rsidR="0097603E" w:rsidRPr="0034426D">
        <w:rPr>
          <w:rFonts w:eastAsia="Times New Roman" w:cs="Arial"/>
          <w:color w:val="000000"/>
          <w:sz w:val="24"/>
          <w:szCs w:val="24"/>
          <w:lang w:val="en-US"/>
        </w:rPr>
        <w:t xml:space="preserve">by </w:t>
      </w:r>
      <w:r w:rsidRPr="0034426D">
        <w:rPr>
          <w:rFonts w:eastAsia="Times New Roman" w:cs="Arial"/>
          <w:color w:val="000000"/>
          <w:sz w:val="24"/>
          <w:szCs w:val="24"/>
          <w:lang w:val="en-US"/>
        </w:rPr>
        <w:t xml:space="preserve">RBCs thanks to </w:t>
      </w:r>
      <w:r w:rsidR="0097603E" w:rsidRPr="0034426D">
        <w:rPr>
          <w:rFonts w:eastAsia="Times New Roman" w:cs="Arial"/>
          <w:color w:val="000000"/>
          <w:sz w:val="24"/>
          <w:szCs w:val="24"/>
          <w:lang w:val="en-US"/>
        </w:rPr>
        <w:t xml:space="preserve">inner resident </w:t>
      </w:r>
      <w:r w:rsidRPr="0034426D">
        <w:rPr>
          <w:rFonts w:eastAsia="Times New Roman" w:cs="Arial"/>
          <w:color w:val="000000"/>
          <w:sz w:val="24"/>
          <w:szCs w:val="24"/>
          <w:lang w:val="en-US"/>
        </w:rPr>
        <w:t xml:space="preserve">immunophilins, the idea </w:t>
      </w:r>
      <w:r w:rsidR="00247C0E" w:rsidRPr="0034426D">
        <w:rPr>
          <w:color w:val="000000" w:themeColor="text1"/>
          <w:sz w:val="24"/>
          <w:szCs w:val="24"/>
          <w:lang w:val="en-US"/>
        </w:rPr>
        <w:t xml:space="preserve">arose </w:t>
      </w:r>
      <w:r w:rsidRPr="0034426D">
        <w:rPr>
          <w:color w:val="000000" w:themeColor="text1"/>
          <w:sz w:val="24"/>
          <w:szCs w:val="24"/>
          <w:lang w:val="en-US"/>
        </w:rPr>
        <w:t xml:space="preserve">to increase the amount of RBC-associated drugs by increasing </w:t>
      </w:r>
      <w:r w:rsidR="00247C0E" w:rsidRPr="0034426D">
        <w:rPr>
          <w:color w:val="000000" w:themeColor="text1"/>
          <w:sz w:val="24"/>
          <w:szCs w:val="24"/>
          <w:lang w:val="en-US"/>
        </w:rPr>
        <w:t xml:space="preserve">the concentration of </w:t>
      </w:r>
      <w:r w:rsidRPr="0034426D">
        <w:rPr>
          <w:color w:val="000000" w:themeColor="text1"/>
          <w:sz w:val="24"/>
          <w:szCs w:val="24"/>
          <w:lang w:val="en-US"/>
        </w:rPr>
        <w:t xml:space="preserve">their binding proteins </w:t>
      </w:r>
      <w:r w:rsidR="00247C0E" w:rsidRPr="0034426D">
        <w:rPr>
          <w:color w:val="000000" w:themeColor="text1"/>
          <w:sz w:val="24"/>
          <w:szCs w:val="24"/>
          <w:lang w:val="en-US"/>
        </w:rPr>
        <w:t xml:space="preserve">in order </w:t>
      </w:r>
      <w:r w:rsidRPr="0034426D">
        <w:rPr>
          <w:color w:val="000000" w:themeColor="text1"/>
          <w:sz w:val="24"/>
          <w:szCs w:val="24"/>
          <w:lang w:val="en-US"/>
        </w:rPr>
        <w:t xml:space="preserve">to modulate the immunosuppressant agents' pharmacokinetics. To this </w:t>
      </w:r>
      <w:r w:rsidR="00247C0E" w:rsidRPr="0034426D">
        <w:rPr>
          <w:color w:val="000000" w:themeColor="text1"/>
          <w:sz w:val="24"/>
          <w:szCs w:val="24"/>
          <w:lang w:val="en-US"/>
        </w:rPr>
        <w:t>purpose</w:t>
      </w:r>
      <w:r w:rsidRPr="0034426D">
        <w:rPr>
          <w:color w:val="000000" w:themeColor="text1"/>
          <w:sz w:val="24"/>
          <w:szCs w:val="24"/>
          <w:lang w:val="en-US"/>
        </w:rPr>
        <w:t xml:space="preserve">, both recombinant human CypA and FKBP12 have been produced, loaded into human RBCs and tested for their ability </w:t>
      </w:r>
      <w:r w:rsidR="00655605" w:rsidRPr="0034426D">
        <w:rPr>
          <w:color w:val="000000" w:themeColor="text1"/>
          <w:sz w:val="24"/>
          <w:szCs w:val="24"/>
          <w:lang w:val="en-US"/>
        </w:rPr>
        <w:t>to</w:t>
      </w:r>
      <w:r w:rsidRPr="0034426D">
        <w:rPr>
          <w:color w:val="000000" w:themeColor="text1"/>
          <w:sz w:val="24"/>
          <w:szCs w:val="24"/>
          <w:lang w:val="en-US"/>
        </w:rPr>
        <w:t xml:space="preserve"> retain the corresponding diffusible </w:t>
      </w:r>
      <w:r w:rsidRPr="0034426D">
        <w:rPr>
          <w:color w:val="000000" w:themeColor="text1"/>
          <w:sz w:val="24"/>
          <w:szCs w:val="24"/>
          <w:lang w:val="en-US"/>
        </w:rPr>
        <w:lastRenderedPageBreak/>
        <w:t xml:space="preserve">drugs cyclosporine and </w:t>
      </w:r>
      <w:r w:rsidR="00247C0E" w:rsidRPr="0034426D">
        <w:rPr>
          <w:color w:val="000000" w:themeColor="text1"/>
          <w:sz w:val="24"/>
          <w:szCs w:val="24"/>
          <w:lang w:val="en-US"/>
        </w:rPr>
        <w:t>T</w:t>
      </w:r>
      <w:r w:rsidRPr="0034426D">
        <w:rPr>
          <w:color w:val="000000" w:themeColor="text1"/>
          <w:sz w:val="24"/>
          <w:szCs w:val="24"/>
          <w:lang w:val="en-US"/>
        </w:rPr>
        <w:t xml:space="preserve">acrolimus </w:t>
      </w:r>
      <w:r w:rsidR="00CE28CA" w:rsidRPr="0034426D">
        <w:rPr>
          <w:color w:val="000000" w:themeColor="text1"/>
          <w:sz w:val="24"/>
          <w:szCs w:val="24"/>
          <w:lang w:val="en-US"/>
        </w:rPr>
        <w:t>[</w:t>
      </w:r>
      <w:r w:rsidR="004B5FC9" w:rsidRPr="0034426D">
        <w:rPr>
          <w:color w:val="000000" w:themeColor="text1"/>
          <w:sz w:val="24"/>
          <w:szCs w:val="24"/>
          <w:lang w:val="en-US"/>
        </w:rPr>
        <w:t>13</w:t>
      </w:r>
      <w:r w:rsidR="004B5FC9">
        <w:rPr>
          <w:color w:val="000000" w:themeColor="text1"/>
          <w:sz w:val="24"/>
          <w:szCs w:val="24"/>
          <w:lang w:val="en-US"/>
        </w:rPr>
        <w:t>2</w:t>
      </w:r>
      <w:r w:rsidR="00CE28CA" w:rsidRPr="0034426D">
        <w:rPr>
          <w:color w:val="000000" w:themeColor="text1"/>
          <w:sz w:val="24"/>
          <w:szCs w:val="24"/>
          <w:lang w:val="en-US"/>
        </w:rPr>
        <w:t>]</w:t>
      </w:r>
      <w:r w:rsidRPr="0034426D">
        <w:rPr>
          <w:color w:val="000000" w:themeColor="text1"/>
          <w:sz w:val="24"/>
          <w:szCs w:val="24"/>
          <w:lang w:val="en-US"/>
        </w:rPr>
        <w:t>. Immunophilins have been encapsulated in a dose-dependent way and higher protein entrapment corresponded to a higher content of intracellular immunosuppressant agents (</w:t>
      </w:r>
      <w:r w:rsidR="006B3DFE" w:rsidRPr="0034426D">
        <w:rPr>
          <w:b/>
          <w:color w:val="000000" w:themeColor="text1"/>
          <w:sz w:val="24"/>
          <w:szCs w:val="24"/>
          <w:lang w:val="en-US"/>
        </w:rPr>
        <w:t>Figure 3</w:t>
      </w:r>
      <w:r w:rsidRPr="0034426D">
        <w:rPr>
          <w:color w:val="000000" w:themeColor="text1"/>
          <w:sz w:val="24"/>
          <w:szCs w:val="24"/>
          <w:lang w:val="en-US"/>
        </w:rPr>
        <w:t>); in detail, CypA-loaded RBCs showed a CsA binding capacity about 6</w:t>
      </w:r>
      <w:r w:rsidR="00655605" w:rsidRPr="0034426D">
        <w:rPr>
          <w:color w:val="000000" w:themeColor="text1"/>
          <w:sz w:val="24"/>
          <w:szCs w:val="24"/>
          <w:lang w:val="en-US"/>
        </w:rPr>
        <w:t>-fold</w:t>
      </w:r>
      <w:r w:rsidRPr="0034426D">
        <w:rPr>
          <w:color w:val="000000" w:themeColor="text1"/>
          <w:sz w:val="24"/>
          <w:szCs w:val="24"/>
          <w:lang w:val="en-US"/>
        </w:rPr>
        <w:t xml:space="preserve"> greater than unloaded cells (17.0</w:t>
      </w:r>
      <w:r w:rsidR="00E259B3">
        <w:rPr>
          <w:color w:val="000000" w:themeColor="text1"/>
          <w:sz w:val="24"/>
          <w:szCs w:val="24"/>
          <w:lang w:val="en-US"/>
        </w:rPr>
        <w:t xml:space="preserve"> </w:t>
      </w:r>
      <w:r w:rsidRPr="0034426D">
        <w:rPr>
          <w:color w:val="000000" w:themeColor="text1"/>
          <w:sz w:val="24"/>
          <w:szCs w:val="24"/>
          <w:lang w:val="en-US"/>
        </w:rPr>
        <w:t>±</w:t>
      </w:r>
      <w:r w:rsidR="00E259B3">
        <w:rPr>
          <w:color w:val="000000" w:themeColor="text1"/>
          <w:sz w:val="24"/>
          <w:szCs w:val="24"/>
          <w:lang w:val="en-US"/>
        </w:rPr>
        <w:t xml:space="preserve"> </w:t>
      </w:r>
      <w:r w:rsidRPr="0034426D">
        <w:rPr>
          <w:color w:val="000000" w:themeColor="text1"/>
          <w:sz w:val="24"/>
          <w:szCs w:val="24"/>
          <w:lang w:val="en-US"/>
        </w:rPr>
        <w:t>3.2 µg CsA/ml RBCs at the higher loaded protein concentration) while FKBP12-loaded RBCs were able to retain a quantity of drug at least 11</w:t>
      </w:r>
      <w:r w:rsidR="00655605" w:rsidRPr="0034426D">
        <w:rPr>
          <w:color w:val="000000" w:themeColor="text1"/>
          <w:sz w:val="24"/>
          <w:szCs w:val="24"/>
          <w:lang w:val="en-US"/>
        </w:rPr>
        <w:t>-fold</w:t>
      </w:r>
      <w:r w:rsidRPr="0034426D">
        <w:rPr>
          <w:color w:val="000000" w:themeColor="text1"/>
          <w:sz w:val="24"/>
          <w:szCs w:val="24"/>
          <w:lang w:val="en-US"/>
        </w:rPr>
        <w:t xml:space="preserve"> greater than native cells (11.4</w:t>
      </w:r>
      <w:r w:rsidR="00E259B3">
        <w:rPr>
          <w:color w:val="000000" w:themeColor="text1"/>
          <w:sz w:val="24"/>
          <w:szCs w:val="24"/>
          <w:lang w:val="en-US"/>
        </w:rPr>
        <w:t xml:space="preserve"> </w:t>
      </w:r>
      <w:r w:rsidRPr="0034426D">
        <w:rPr>
          <w:color w:val="000000" w:themeColor="text1"/>
          <w:sz w:val="24"/>
          <w:szCs w:val="24"/>
          <w:lang w:val="en-US"/>
        </w:rPr>
        <w:t>± 2.9 µg FK506/ml RBCs at the higher amount of loaded protein tested)</w:t>
      </w:r>
      <w:r w:rsidR="00655605" w:rsidRPr="0034426D">
        <w:rPr>
          <w:color w:val="000000" w:themeColor="text1"/>
          <w:sz w:val="24"/>
          <w:szCs w:val="24"/>
          <w:lang w:val="en-US"/>
        </w:rPr>
        <w:t>,</w:t>
      </w:r>
      <w:r w:rsidRPr="0034426D">
        <w:rPr>
          <w:color w:val="000000" w:themeColor="text1"/>
          <w:sz w:val="24"/>
          <w:szCs w:val="24"/>
          <w:lang w:val="en-US"/>
        </w:rPr>
        <w:t xml:space="preserve"> as show</w:t>
      </w:r>
      <w:r w:rsidR="00655605" w:rsidRPr="0034426D">
        <w:rPr>
          <w:color w:val="000000" w:themeColor="text1"/>
          <w:sz w:val="24"/>
          <w:szCs w:val="24"/>
          <w:lang w:val="en-US"/>
        </w:rPr>
        <w:t>n</w:t>
      </w:r>
      <w:r w:rsidRPr="0034426D">
        <w:rPr>
          <w:color w:val="000000" w:themeColor="text1"/>
          <w:sz w:val="24"/>
          <w:szCs w:val="24"/>
          <w:lang w:val="en-US"/>
        </w:rPr>
        <w:t xml:space="preserve"> by CsA and FK506 binding assay experiments. It is reasonable to think that these values may be further increased by adding more protein inside RBCs</w:t>
      </w:r>
      <w:r w:rsidR="00655605" w:rsidRPr="0034426D">
        <w:rPr>
          <w:color w:val="000000" w:themeColor="text1"/>
          <w:sz w:val="24"/>
          <w:szCs w:val="24"/>
          <w:lang w:val="en-US"/>
        </w:rPr>
        <w:t>,</w:t>
      </w:r>
      <w:r w:rsidRPr="0034426D">
        <w:rPr>
          <w:color w:val="000000" w:themeColor="text1"/>
          <w:sz w:val="24"/>
          <w:szCs w:val="24"/>
          <w:lang w:val="en-US"/>
        </w:rPr>
        <w:t xml:space="preserve"> since directly proportional results</w:t>
      </w:r>
      <w:r w:rsidR="00D76D6C" w:rsidRPr="0034426D">
        <w:rPr>
          <w:color w:val="000000" w:themeColor="text1"/>
          <w:sz w:val="24"/>
          <w:szCs w:val="24"/>
          <w:lang w:val="en-US"/>
        </w:rPr>
        <w:t xml:space="preserve"> </w:t>
      </w:r>
      <w:r w:rsidR="00247C0E" w:rsidRPr="0034426D">
        <w:rPr>
          <w:color w:val="000000" w:themeColor="text1"/>
          <w:sz w:val="24"/>
          <w:szCs w:val="24"/>
          <w:lang w:val="en-US"/>
        </w:rPr>
        <w:t>have</w:t>
      </w:r>
      <w:r w:rsidRPr="0034426D">
        <w:rPr>
          <w:color w:val="000000" w:themeColor="text1"/>
          <w:sz w:val="24"/>
          <w:szCs w:val="24"/>
          <w:lang w:val="en-US"/>
        </w:rPr>
        <w:t xml:space="preserve"> always </w:t>
      </w:r>
      <w:r w:rsidR="00655605" w:rsidRPr="0034426D">
        <w:rPr>
          <w:color w:val="000000" w:themeColor="text1"/>
          <w:sz w:val="24"/>
          <w:szCs w:val="24"/>
          <w:lang w:val="en-US"/>
        </w:rPr>
        <w:t xml:space="preserve">been </w:t>
      </w:r>
      <w:r w:rsidRPr="0034426D">
        <w:rPr>
          <w:color w:val="000000" w:themeColor="text1"/>
          <w:sz w:val="24"/>
          <w:szCs w:val="24"/>
          <w:lang w:val="en-US"/>
        </w:rPr>
        <w:t xml:space="preserve">obtained. Interestingly, FKBP12-loaded RBCs could be exploited for the transport of sirolimus (rapamycin) as well, since this immunophilin possesses high affinity also </w:t>
      </w:r>
      <w:r w:rsidR="0040464E" w:rsidRPr="0034426D">
        <w:rPr>
          <w:color w:val="000000" w:themeColor="text1"/>
          <w:sz w:val="24"/>
          <w:szCs w:val="24"/>
          <w:lang w:val="en-US"/>
        </w:rPr>
        <w:t>towards</w:t>
      </w:r>
      <w:r w:rsidRPr="0034426D">
        <w:rPr>
          <w:color w:val="000000" w:themeColor="text1"/>
          <w:sz w:val="24"/>
          <w:szCs w:val="24"/>
          <w:lang w:val="en-US"/>
        </w:rPr>
        <w:t xml:space="preserve"> this immunosuppressant agent </w:t>
      </w:r>
      <w:r w:rsidR="00024ED7" w:rsidRPr="0034426D">
        <w:rPr>
          <w:color w:val="000000" w:themeColor="text1"/>
          <w:sz w:val="24"/>
          <w:szCs w:val="24"/>
          <w:lang w:val="en-US"/>
        </w:rPr>
        <w:t>[13</w:t>
      </w:r>
      <w:r w:rsidR="004B5FC9">
        <w:rPr>
          <w:color w:val="000000" w:themeColor="text1"/>
          <w:sz w:val="24"/>
          <w:szCs w:val="24"/>
          <w:lang w:val="en-US"/>
        </w:rPr>
        <w:t>3</w:t>
      </w:r>
      <w:r w:rsidR="00024ED7" w:rsidRPr="0034426D">
        <w:rPr>
          <w:color w:val="000000" w:themeColor="text1"/>
          <w:sz w:val="24"/>
          <w:szCs w:val="24"/>
          <w:lang w:val="en-US"/>
        </w:rPr>
        <w:t>].</w:t>
      </w:r>
    </w:p>
    <w:p w14:paraId="03F6630E" w14:textId="77777777" w:rsidR="007E72DD" w:rsidRPr="0034426D" w:rsidRDefault="007E72DD" w:rsidP="007E72DD">
      <w:pPr>
        <w:spacing w:line="360" w:lineRule="auto"/>
        <w:contextualSpacing/>
        <w:jc w:val="both"/>
        <w:rPr>
          <w:color w:val="000000" w:themeColor="text1"/>
          <w:sz w:val="24"/>
          <w:szCs w:val="24"/>
          <w:lang w:val="en-US"/>
        </w:rPr>
      </w:pPr>
      <w:r w:rsidRPr="0034426D">
        <w:rPr>
          <w:color w:val="000000" w:themeColor="text1"/>
          <w:sz w:val="24"/>
          <w:szCs w:val="24"/>
          <w:lang w:val="en-US"/>
        </w:rPr>
        <w:t>Three different modalities in the use of these engineered RBCs can be suggested:</w:t>
      </w:r>
    </w:p>
    <w:p w14:paraId="1E42C2AA" w14:textId="77777777" w:rsidR="007E72DD" w:rsidRPr="0034426D" w:rsidRDefault="007E72DD" w:rsidP="007E72DD">
      <w:pPr>
        <w:spacing w:line="360" w:lineRule="auto"/>
        <w:contextualSpacing/>
        <w:jc w:val="both"/>
        <w:rPr>
          <w:color w:val="000000" w:themeColor="text1"/>
          <w:sz w:val="24"/>
          <w:szCs w:val="24"/>
          <w:lang w:val="en-US"/>
        </w:rPr>
      </w:pPr>
      <w:r w:rsidRPr="0034426D">
        <w:rPr>
          <w:color w:val="000000" w:themeColor="text1"/>
          <w:sz w:val="24"/>
          <w:szCs w:val="24"/>
          <w:lang w:val="en-US"/>
        </w:rPr>
        <w:t xml:space="preserve">a) Human autologous </w:t>
      </w:r>
      <w:r w:rsidR="00977F27" w:rsidRPr="0034426D">
        <w:rPr>
          <w:color w:val="000000" w:themeColor="text1"/>
          <w:sz w:val="24"/>
          <w:szCs w:val="24"/>
          <w:lang w:val="en-US"/>
        </w:rPr>
        <w:t>RBCs</w:t>
      </w:r>
      <w:r w:rsidRPr="0034426D">
        <w:rPr>
          <w:color w:val="000000" w:themeColor="text1"/>
          <w:sz w:val="24"/>
          <w:szCs w:val="24"/>
          <w:lang w:val="en-US"/>
        </w:rPr>
        <w:t xml:space="preserve"> can be loaded </w:t>
      </w:r>
      <w:r w:rsidRPr="0034426D">
        <w:rPr>
          <w:i/>
          <w:color w:val="000000" w:themeColor="text1"/>
          <w:sz w:val="24"/>
          <w:szCs w:val="24"/>
          <w:lang w:val="en-US"/>
        </w:rPr>
        <w:t>ex vivo</w:t>
      </w:r>
      <w:r w:rsidRPr="0034426D">
        <w:rPr>
          <w:color w:val="000000" w:themeColor="text1"/>
          <w:sz w:val="24"/>
          <w:szCs w:val="24"/>
          <w:lang w:val="en-US"/>
        </w:rPr>
        <w:t xml:space="preserve"> with the chosen immunophilin, incubated with the corresponding diffusible drug to permit its </w:t>
      </w:r>
      <w:r w:rsidR="008F131C" w:rsidRPr="0034426D">
        <w:rPr>
          <w:color w:val="000000" w:themeColor="text1"/>
          <w:sz w:val="24"/>
          <w:szCs w:val="24"/>
          <w:lang w:val="en-US"/>
        </w:rPr>
        <w:t>higher</w:t>
      </w:r>
      <w:r w:rsidR="00F37EBE" w:rsidRPr="0034426D">
        <w:rPr>
          <w:color w:val="000000" w:themeColor="text1"/>
          <w:sz w:val="24"/>
          <w:szCs w:val="24"/>
          <w:lang w:val="en-US"/>
        </w:rPr>
        <w:t xml:space="preserve"> </w:t>
      </w:r>
      <w:r w:rsidRPr="0034426D">
        <w:rPr>
          <w:color w:val="000000" w:themeColor="text1"/>
          <w:sz w:val="24"/>
          <w:szCs w:val="24"/>
          <w:lang w:val="en-US"/>
        </w:rPr>
        <w:t>binding and then re-infused to the patient where the imm</w:t>
      </w:r>
      <w:r w:rsidR="00977F27" w:rsidRPr="0034426D">
        <w:rPr>
          <w:color w:val="000000" w:themeColor="text1"/>
          <w:sz w:val="24"/>
          <w:szCs w:val="24"/>
          <w:lang w:val="en-US"/>
        </w:rPr>
        <w:t>u</w:t>
      </w:r>
      <w:r w:rsidRPr="0034426D">
        <w:rPr>
          <w:color w:val="000000" w:themeColor="text1"/>
          <w:sz w:val="24"/>
          <w:szCs w:val="24"/>
          <w:lang w:val="en-US"/>
        </w:rPr>
        <w:t>n</w:t>
      </w:r>
      <w:r w:rsidR="00977F27" w:rsidRPr="0034426D">
        <w:rPr>
          <w:color w:val="000000" w:themeColor="text1"/>
          <w:sz w:val="24"/>
          <w:szCs w:val="24"/>
          <w:lang w:val="en-US"/>
        </w:rPr>
        <w:t>o</w:t>
      </w:r>
      <w:r w:rsidRPr="0034426D">
        <w:rPr>
          <w:color w:val="000000" w:themeColor="text1"/>
          <w:sz w:val="24"/>
          <w:szCs w:val="24"/>
          <w:lang w:val="en-US"/>
        </w:rPr>
        <w:t xml:space="preserve">suppressant agent will be slowly released in circulation; the drug released could eventually bind endogenous immunophilins physiologically present into native circulating RBCs. Thus, a single administration might ensure a drug concentration </w:t>
      </w:r>
      <w:r w:rsidR="0040464E" w:rsidRPr="0034426D">
        <w:rPr>
          <w:color w:val="000000" w:themeColor="text1"/>
          <w:sz w:val="24"/>
          <w:szCs w:val="24"/>
          <w:lang w:val="en-US"/>
        </w:rPr>
        <w:t>within</w:t>
      </w:r>
      <w:r w:rsidRPr="0034426D">
        <w:rPr>
          <w:color w:val="000000" w:themeColor="text1"/>
          <w:sz w:val="24"/>
          <w:szCs w:val="24"/>
          <w:lang w:val="en-US"/>
        </w:rPr>
        <w:t xml:space="preserve"> the therapeutic window by overcoming bioavailability issue</w:t>
      </w:r>
      <w:r w:rsidR="00655605" w:rsidRPr="0034426D">
        <w:rPr>
          <w:color w:val="000000" w:themeColor="text1"/>
          <w:sz w:val="24"/>
          <w:szCs w:val="24"/>
          <w:lang w:val="en-US"/>
        </w:rPr>
        <w:t>s</w:t>
      </w:r>
      <w:r w:rsidRPr="0034426D">
        <w:rPr>
          <w:color w:val="000000" w:themeColor="text1"/>
          <w:sz w:val="24"/>
          <w:szCs w:val="24"/>
          <w:lang w:val="en-US"/>
        </w:rPr>
        <w:t xml:space="preserve"> related to oral administration and adverse effects related to intravenous infusion.</w:t>
      </w:r>
    </w:p>
    <w:p w14:paraId="0232BE8A" w14:textId="77777777" w:rsidR="007E72DD" w:rsidRPr="0034426D" w:rsidRDefault="007E72DD" w:rsidP="007E72DD">
      <w:pPr>
        <w:spacing w:line="360" w:lineRule="auto"/>
        <w:contextualSpacing/>
        <w:jc w:val="both"/>
        <w:rPr>
          <w:color w:val="000000" w:themeColor="text1"/>
          <w:sz w:val="24"/>
          <w:szCs w:val="24"/>
          <w:lang w:val="en-US"/>
        </w:rPr>
      </w:pPr>
      <w:r w:rsidRPr="0034426D">
        <w:rPr>
          <w:color w:val="000000" w:themeColor="text1"/>
          <w:sz w:val="24"/>
          <w:szCs w:val="24"/>
          <w:lang w:val="en-US"/>
        </w:rPr>
        <w:t xml:space="preserve">b) </w:t>
      </w:r>
      <w:r w:rsidR="00977F27" w:rsidRPr="0034426D">
        <w:rPr>
          <w:color w:val="000000" w:themeColor="text1"/>
          <w:sz w:val="24"/>
          <w:szCs w:val="24"/>
          <w:lang w:val="en-US"/>
        </w:rPr>
        <w:t>RBCs</w:t>
      </w:r>
      <w:r w:rsidRPr="0034426D">
        <w:rPr>
          <w:color w:val="000000" w:themeColor="text1"/>
          <w:sz w:val="24"/>
          <w:szCs w:val="24"/>
          <w:lang w:val="en-US"/>
        </w:rPr>
        <w:t xml:space="preserve"> can be loaded </w:t>
      </w:r>
      <w:r w:rsidRPr="0034426D">
        <w:rPr>
          <w:i/>
          <w:color w:val="000000" w:themeColor="text1"/>
          <w:sz w:val="24"/>
          <w:szCs w:val="24"/>
          <w:lang w:val="en-US"/>
        </w:rPr>
        <w:t>ex vivo</w:t>
      </w:r>
      <w:r w:rsidRPr="0034426D">
        <w:rPr>
          <w:color w:val="000000" w:themeColor="text1"/>
          <w:sz w:val="24"/>
          <w:szCs w:val="24"/>
          <w:lang w:val="en-US"/>
        </w:rPr>
        <w:t xml:space="preserve"> with the chosen immunophilin and re-infused to the patient (where</w:t>
      </w:r>
      <w:r w:rsidR="00655605" w:rsidRPr="0034426D">
        <w:rPr>
          <w:color w:val="000000" w:themeColor="text1"/>
          <w:sz w:val="24"/>
          <w:szCs w:val="24"/>
          <w:lang w:val="en-US"/>
        </w:rPr>
        <w:t xml:space="preserve"> they</w:t>
      </w:r>
      <w:r w:rsidRPr="0034426D">
        <w:rPr>
          <w:color w:val="000000" w:themeColor="text1"/>
          <w:sz w:val="24"/>
          <w:szCs w:val="24"/>
          <w:lang w:val="en-US"/>
        </w:rPr>
        <w:t xml:space="preserve"> will </w:t>
      </w:r>
      <w:r w:rsidR="00655605" w:rsidRPr="0034426D">
        <w:rPr>
          <w:color w:val="000000" w:themeColor="text1"/>
          <w:sz w:val="24"/>
          <w:szCs w:val="24"/>
          <w:lang w:val="en-US"/>
        </w:rPr>
        <w:t xml:space="preserve">usually </w:t>
      </w:r>
      <w:r w:rsidRPr="0034426D">
        <w:rPr>
          <w:color w:val="000000" w:themeColor="text1"/>
          <w:sz w:val="24"/>
          <w:szCs w:val="24"/>
          <w:lang w:val="en-US"/>
        </w:rPr>
        <w:t xml:space="preserve">circulate for few months) </w:t>
      </w:r>
      <w:r w:rsidR="00655605" w:rsidRPr="0034426D">
        <w:rPr>
          <w:color w:val="000000" w:themeColor="text1"/>
          <w:sz w:val="24"/>
          <w:szCs w:val="24"/>
          <w:lang w:val="en-US"/>
        </w:rPr>
        <w:t>who</w:t>
      </w:r>
      <w:r w:rsidRPr="0034426D">
        <w:rPr>
          <w:color w:val="000000" w:themeColor="text1"/>
          <w:sz w:val="24"/>
          <w:szCs w:val="24"/>
          <w:lang w:val="en-US"/>
        </w:rPr>
        <w:t xml:space="preserve">, in need, will receive orally or intravenously or </w:t>
      </w:r>
      <w:r w:rsidR="00655605" w:rsidRPr="0034426D">
        <w:rPr>
          <w:color w:val="000000" w:themeColor="text1"/>
          <w:sz w:val="24"/>
          <w:szCs w:val="24"/>
          <w:lang w:val="en-US"/>
        </w:rPr>
        <w:t>by</w:t>
      </w:r>
      <w:r w:rsidRPr="0034426D">
        <w:rPr>
          <w:color w:val="000000" w:themeColor="text1"/>
          <w:sz w:val="24"/>
          <w:szCs w:val="24"/>
          <w:lang w:val="en-US"/>
        </w:rPr>
        <w:t xml:space="preserve"> any acceptable modality, the corresponding diffusible compound (CsA or FK506); the drug, once in circulation, will reversibl</w:t>
      </w:r>
      <w:r w:rsidR="00655605" w:rsidRPr="0034426D">
        <w:rPr>
          <w:color w:val="000000" w:themeColor="text1"/>
          <w:sz w:val="24"/>
          <w:szCs w:val="24"/>
          <w:lang w:val="en-US"/>
        </w:rPr>
        <w:t>y</w:t>
      </w:r>
      <w:r w:rsidRPr="0034426D">
        <w:rPr>
          <w:color w:val="000000" w:themeColor="text1"/>
          <w:sz w:val="24"/>
          <w:szCs w:val="24"/>
          <w:lang w:val="en-US"/>
        </w:rPr>
        <w:t xml:space="preserve"> bind the protein-loaded RBCs with higher affinity than the native </w:t>
      </w:r>
      <w:r w:rsidR="00655605" w:rsidRPr="0034426D">
        <w:rPr>
          <w:color w:val="000000" w:themeColor="text1"/>
          <w:sz w:val="24"/>
          <w:szCs w:val="24"/>
          <w:lang w:val="en-US"/>
        </w:rPr>
        <w:t>erythrocytes</w:t>
      </w:r>
      <w:r w:rsidRPr="0034426D">
        <w:rPr>
          <w:color w:val="000000" w:themeColor="text1"/>
          <w:sz w:val="24"/>
          <w:szCs w:val="24"/>
          <w:lang w:val="en-US"/>
        </w:rPr>
        <w:t>. Therefore, the engineered RBCs will first bind the drug in circulation when its plasma concentration is high and, subsequently, release the drug when its plasma concentration decreases. In such a way, immunophilin-loaded RBCs will act as a reservoir for a slow drug delivery in circulation, greatly improving pharmacokinetic characteristics</w:t>
      </w:r>
      <w:r w:rsidR="00024ED7" w:rsidRPr="0034426D">
        <w:rPr>
          <w:color w:val="000000" w:themeColor="text1"/>
          <w:sz w:val="24"/>
          <w:szCs w:val="24"/>
          <w:lang w:val="en-US"/>
        </w:rPr>
        <w:t xml:space="preserve"> of the immunosuppressant drug.</w:t>
      </w:r>
    </w:p>
    <w:p w14:paraId="6FC4723F" w14:textId="77777777" w:rsidR="007E72DD" w:rsidRPr="0034426D" w:rsidRDefault="007E72DD" w:rsidP="007E72DD">
      <w:pPr>
        <w:spacing w:line="360" w:lineRule="auto"/>
        <w:contextualSpacing/>
        <w:jc w:val="both"/>
        <w:rPr>
          <w:color w:val="000000" w:themeColor="text1"/>
          <w:sz w:val="24"/>
          <w:szCs w:val="24"/>
          <w:lang w:val="en-US"/>
        </w:rPr>
      </w:pPr>
      <w:r w:rsidRPr="0034426D">
        <w:rPr>
          <w:color w:val="000000" w:themeColor="text1"/>
          <w:sz w:val="24"/>
          <w:szCs w:val="24"/>
          <w:lang w:val="en-US"/>
        </w:rPr>
        <w:t xml:space="preserve">c) Immunophilin-loaded </w:t>
      </w:r>
      <w:r w:rsidR="00977F27" w:rsidRPr="0034426D">
        <w:rPr>
          <w:color w:val="000000" w:themeColor="text1"/>
          <w:sz w:val="24"/>
          <w:szCs w:val="24"/>
          <w:lang w:val="en-US"/>
        </w:rPr>
        <w:t>RBCs</w:t>
      </w:r>
      <w:r w:rsidRPr="0034426D">
        <w:rPr>
          <w:color w:val="000000" w:themeColor="text1"/>
          <w:sz w:val="24"/>
          <w:szCs w:val="24"/>
          <w:lang w:val="en-US"/>
        </w:rPr>
        <w:t xml:space="preserve"> could be used as an antidote for the treatment of patients that </w:t>
      </w:r>
      <w:r w:rsidR="00655605" w:rsidRPr="0034426D">
        <w:rPr>
          <w:color w:val="000000" w:themeColor="text1"/>
          <w:sz w:val="24"/>
          <w:szCs w:val="24"/>
          <w:lang w:val="en-US"/>
        </w:rPr>
        <w:t xml:space="preserve">have </w:t>
      </w:r>
      <w:r w:rsidRPr="0034426D">
        <w:rPr>
          <w:color w:val="000000" w:themeColor="text1"/>
          <w:sz w:val="24"/>
          <w:szCs w:val="24"/>
          <w:lang w:val="en-US"/>
        </w:rPr>
        <w:t>accidentally receive</w:t>
      </w:r>
      <w:r w:rsidR="00655605" w:rsidRPr="0034426D">
        <w:rPr>
          <w:color w:val="000000" w:themeColor="text1"/>
          <w:sz w:val="24"/>
          <w:szCs w:val="24"/>
          <w:lang w:val="en-US"/>
        </w:rPr>
        <w:t>d</w:t>
      </w:r>
      <w:r w:rsidRPr="0034426D">
        <w:rPr>
          <w:color w:val="000000" w:themeColor="text1"/>
          <w:sz w:val="24"/>
          <w:szCs w:val="24"/>
          <w:lang w:val="en-US"/>
        </w:rPr>
        <w:t xml:space="preserve"> highly toxic CsA or FK506 concentrations. Tacrolimus, for example, is usually administered </w:t>
      </w:r>
      <w:r w:rsidRPr="00E259B3">
        <w:rPr>
          <w:i/>
          <w:color w:val="000000" w:themeColor="text1"/>
          <w:sz w:val="24"/>
          <w:szCs w:val="24"/>
          <w:lang w:val="en-US"/>
        </w:rPr>
        <w:t>per os</w:t>
      </w:r>
      <w:r w:rsidRPr="0034426D">
        <w:rPr>
          <w:color w:val="000000" w:themeColor="text1"/>
          <w:sz w:val="24"/>
          <w:szCs w:val="24"/>
          <w:lang w:val="en-US"/>
        </w:rPr>
        <w:t>; however, in some clinical conditions such as nausea, vomiting, sedation or intubation, oral administration is not recommended and patient</w:t>
      </w:r>
      <w:r w:rsidR="00655605" w:rsidRPr="0034426D">
        <w:rPr>
          <w:color w:val="000000" w:themeColor="text1"/>
          <w:sz w:val="24"/>
          <w:szCs w:val="24"/>
          <w:lang w:val="en-US"/>
        </w:rPr>
        <w:t>s</w:t>
      </w:r>
      <w:r w:rsidRPr="0034426D">
        <w:rPr>
          <w:color w:val="000000" w:themeColor="text1"/>
          <w:sz w:val="24"/>
          <w:szCs w:val="24"/>
          <w:lang w:val="en-US"/>
        </w:rPr>
        <w:t xml:space="preserve"> will be submitted to an intravenous treatment. Unfortunately, increased incidence of adverse and sometimes severe drug </w:t>
      </w:r>
      <w:r w:rsidRPr="0034426D">
        <w:rPr>
          <w:color w:val="000000" w:themeColor="text1"/>
          <w:sz w:val="24"/>
          <w:szCs w:val="24"/>
          <w:lang w:val="en-US"/>
        </w:rPr>
        <w:lastRenderedPageBreak/>
        <w:t xml:space="preserve">reactions have been associated with the intravenous administration in comparison to </w:t>
      </w:r>
      <w:r w:rsidR="00655605" w:rsidRPr="0034426D">
        <w:rPr>
          <w:color w:val="000000" w:themeColor="text1"/>
          <w:sz w:val="24"/>
          <w:szCs w:val="24"/>
          <w:lang w:val="en-US"/>
        </w:rPr>
        <w:t xml:space="preserve">the </w:t>
      </w:r>
      <w:r w:rsidRPr="0034426D">
        <w:rPr>
          <w:color w:val="000000" w:themeColor="text1"/>
          <w:sz w:val="24"/>
          <w:szCs w:val="24"/>
          <w:lang w:val="en-US"/>
        </w:rPr>
        <w:t>oral one</w:t>
      </w:r>
      <w:r w:rsidR="00D76D6C" w:rsidRPr="0034426D">
        <w:rPr>
          <w:color w:val="000000" w:themeColor="text1"/>
          <w:sz w:val="24"/>
          <w:szCs w:val="24"/>
          <w:lang w:val="en-US"/>
        </w:rPr>
        <w:t xml:space="preserve"> </w:t>
      </w:r>
      <w:r w:rsidR="00024ED7" w:rsidRPr="0034426D">
        <w:rPr>
          <w:color w:val="000000" w:themeColor="text1"/>
          <w:sz w:val="24"/>
          <w:szCs w:val="24"/>
          <w:lang w:val="en-US"/>
        </w:rPr>
        <w:t>[13</w:t>
      </w:r>
      <w:r w:rsidR="004B5FC9">
        <w:rPr>
          <w:color w:val="000000" w:themeColor="text1"/>
          <w:sz w:val="24"/>
          <w:szCs w:val="24"/>
          <w:lang w:val="en-US"/>
        </w:rPr>
        <w:t>4</w:t>
      </w:r>
      <w:r w:rsidR="00024ED7" w:rsidRPr="0034426D">
        <w:rPr>
          <w:color w:val="000000" w:themeColor="text1"/>
          <w:sz w:val="24"/>
          <w:szCs w:val="24"/>
          <w:lang w:val="en-US"/>
        </w:rPr>
        <w:t>,13</w:t>
      </w:r>
      <w:r w:rsidR="004B5FC9">
        <w:rPr>
          <w:color w:val="000000" w:themeColor="text1"/>
          <w:sz w:val="24"/>
          <w:szCs w:val="24"/>
          <w:lang w:val="en-US"/>
        </w:rPr>
        <w:t>5</w:t>
      </w:r>
      <w:r w:rsidR="00024ED7" w:rsidRPr="0034426D">
        <w:rPr>
          <w:color w:val="000000" w:themeColor="text1"/>
          <w:sz w:val="24"/>
          <w:szCs w:val="24"/>
          <w:lang w:val="en-US"/>
        </w:rPr>
        <w:t>]</w:t>
      </w:r>
      <w:r w:rsidRPr="0034426D">
        <w:rPr>
          <w:color w:val="000000" w:themeColor="text1"/>
          <w:sz w:val="24"/>
          <w:szCs w:val="24"/>
          <w:lang w:val="en-US"/>
        </w:rPr>
        <w:t>. The increased risk of overexposure can be owed to unfortunate dose</w:t>
      </w:r>
      <w:r w:rsidR="009F155A">
        <w:rPr>
          <w:color w:val="000000" w:themeColor="text1"/>
          <w:sz w:val="24"/>
          <w:szCs w:val="24"/>
          <w:lang w:val="en-US"/>
        </w:rPr>
        <w:t xml:space="preserve"> </w:t>
      </w:r>
      <w:r w:rsidRPr="0034426D">
        <w:rPr>
          <w:color w:val="000000" w:themeColor="text1"/>
          <w:sz w:val="24"/>
          <w:szCs w:val="24"/>
          <w:lang w:val="en-US"/>
        </w:rPr>
        <w:t xml:space="preserve">calculations, excessive oral to intravenous conversion rates, inappropriate dilutions for infusion and, finally, to the above mentioned hypersensitivity to polyoxyethylated hydrogenated castor oil used in the drug formulation </w:t>
      </w:r>
      <w:r w:rsidR="00024ED7" w:rsidRPr="0034426D">
        <w:rPr>
          <w:color w:val="000000" w:themeColor="text1"/>
          <w:sz w:val="24"/>
          <w:szCs w:val="24"/>
          <w:lang w:val="en-US"/>
        </w:rPr>
        <w:t>[</w:t>
      </w:r>
      <w:r w:rsidR="00B64D58">
        <w:rPr>
          <w:color w:val="000000" w:themeColor="text1"/>
          <w:sz w:val="24"/>
          <w:szCs w:val="24"/>
          <w:lang w:val="en-US"/>
        </w:rPr>
        <w:t>13</w:t>
      </w:r>
      <w:r w:rsidR="004B5FC9">
        <w:rPr>
          <w:color w:val="000000" w:themeColor="text1"/>
          <w:sz w:val="24"/>
          <w:szCs w:val="24"/>
          <w:lang w:val="en-US"/>
        </w:rPr>
        <w:t>6</w:t>
      </w:r>
      <w:r w:rsidR="00024ED7" w:rsidRPr="0034426D">
        <w:rPr>
          <w:color w:val="000000" w:themeColor="text1"/>
          <w:sz w:val="24"/>
          <w:szCs w:val="24"/>
          <w:lang w:val="en-US"/>
        </w:rPr>
        <w:t>]</w:t>
      </w:r>
      <w:r w:rsidRPr="0034426D">
        <w:rPr>
          <w:color w:val="000000" w:themeColor="text1"/>
          <w:sz w:val="24"/>
          <w:szCs w:val="24"/>
          <w:lang w:val="en-US"/>
        </w:rPr>
        <w:t>. All these conditions make the availability of an antidote able to readily remove the excess of free drug in circulation</w:t>
      </w:r>
      <w:r w:rsidR="00655605" w:rsidRPr="0034426D">
        <w:rPr>
          <w:color w:val="000000" w:themeColor="text1"/>
          <w:sz w:val="24"/>
          <w:szCs w:val="24"/>
          <w:lang w:val="en-US"/>
        </w:rPr>
        <w:t xml:space="preserve"> sorely needed</w:t>
      </w:r>
      <w:r w:rsidRPr="0034426D">
        <w:rPr>
          <w:color w:val="000000" w:themeColor="text1"/>
          <w:sz w:val="24"/>
          <w:szCs w:val="24"/>
          <w:lang w:val="en-US"/>
        </w:rPr>
        <w:t xml:space="preserve">. The aim can be easily reached through the proposed strategy since autologous FKBP12-loaded RBCs can be quickly prepared and re-infused (2 hour-time required) in the patient where </w:t>
      </w:r>
      <w:r w:rsidR="00655605" w:rsidRPr="0034426D">
        <w:rPr>
          <w:color w:val="000000" w:themeColor="text1"/>
          <w:sz w:val="24"/>
          <w:szCs w:val="24"/>
          <w:lang w:val="en-US"/>
        </w:rPr>
        <w:t xml:space="preserve">they will </w:t>
      </w:r>
      <w:r w:rsidRPr="0034426D">
        <w:rPr>
          <w:color w:val="000000" w:themeColor="text1"/>
          <w:sz w:val="24"/>
          <w:szCs w:val="24"/>
          <w:lang w:val="en-US"/>
        </w:rPr>
        <w:t xml:space="preserve">greedily bind </w:t>
      </w:r>
      <w:r w:rsidR="00655605" w:rsidRPr="0034426D">
        <w:rPr>
          <w:color w:val="000000" w:themeColor="text1"/>
          <w:sz w:val="24"/>
          <w:szCs w:val="24"/>
          <w:lang w:val="en-US"/>
        </w:rPr>
        <w:t>T</w:t>
      </w:r>
      <w:r w:rsidRPr="0034426D">
        <w:rPr>
          <w:color w:val="000000" w:themeColor="text1"/>
          <w:sz w:val="24"/>
          <w:szCs w:val="24"/>
          <w:lang w:val="en-US"/>
        </w:rPr>
        <w:t>acrolimus</w:t>
      </w:r>
      <w:r w:rsidR="00655605" w:rsidRPr="0034426D">
        <w:rPr>
          <w:color w:val="000000" w:themeColor="text1"/>
          <w:sz w:val="24"/>
          <w:szCs w:val="24"/>
          <w:lang w:val="en-US"/>
        </w:rPr>
        <w:t>, thus</w:t>
      </w:r>
      <w:r w:rsidRPr="0034426D">
        <w:rPr>
          <w:color w:val="000000" w:themeColor="text1"/>
          <w:sz w:val="24"/>
          <w:szCs w:val="24"/>
          <w:lang w:val="en-US"/>
        </w:rPr>
        <w:t xml:space="preserve"> lowering </w:t>
      </w:r>
      <w:r w:rsidR="00E259B3">
        <w:rPr>
          <w:color w:val="000000" w:themeColor="text1"/>
          <w:sz w:val="24"/>
          <w:szCs w:val="24"/>
          <w:lang w:val="en-US"/>
        </w:rPr>
        <w:t>its toxic plasma concentration.</w:t>
      </w:r>
    </w:p>
    <w:p w14:paraId="5E5FCAFB" w14:textId="77777777" w:rsidR="007E72DD" w:rsidRPr="0034426D" w:rsidRDefault="007E72DD" w:rsidP="007E72DD">
      <w:pPr>
        <w:spacing w:line="360" w:lineRule="auto"/>
        <w:contextualSpacing/>
        <w:jc w:val="both"/>
        <w:rPr>
          <w:color w:val="000000" w:themeColor="text1"/>
          <w:sz w:val="24"/>
          <w:szCs w:val="24"/>
          <w:lang w:val="en-US"/>
        </w:rPr>
      </w:pPr>
      <w:r w:rsidRPr="0034426D">
        <w:rPr>
          <w:color w:val="000000" w:themeColor="text1"/>
          <w:sz w:val="24"/>
          <w:szCs w:val="24"/>
          <w:lang w:val="en-US"/>
        </w:rPr>
        <w:t xml:space="preserve">Certainly, pharmacokinetic studies in animal models are needed to confirm the value of what suggested; however, if </w:t>
      </w:r>
      <w:r w:rsidRPr="0034426D">
        <w:rPr>
          <w:i/>
          <w:color w:val="000000" w:themeColor="text1"/>
          <w:sz w:val="24"/>
          <w:szCs w:val="24"/>
          <w:lang w:val="en-US"/>
        </w:rPr>
        <w:t>in vivo</w:t>
      </w:r>
      <w:r w:rsidRPr="0034426D">
        <w:rPr>
          <w:color w:val="000000" w:themeColor="text1"/>
          <w:sz w:val="24"/>
          <w:szCs w:val="24"/>
          <w:lang w:val="en-US"/>
        </w:rPr>
        <w:t xml:space="preserve"> results will </w:t>
      </w:r>
      <w:r w:rsidR="00073576" w:rsidRPr="0034426D">
        <w:rPr>
          <w:color w:val="000000" w:themeColor="text1"/>
          <w:sz w:val="24"/>
          <w:szCs w:val="24"/>
          <w:lang w:val="en-US"/>
        </w:rPr>
        <w:t xml:space="preserve">confirm these </w:t>
      </w:r>
      <w:r w:rsidR="00024ED7" w:rsidRPr="0034426D">
        <w:rPr>
          <w:color w:val="000000" w:themeColor="text1"/>
          <w:sz w:val="24"/>
          <w:szCs w:val="24"/>
          <w:lang w:val="en-US"/>
        </w:rPr>
        <w:t>assumptions</w:t>
      </w:r>
      <w:r w:rsidRPr="0034426D">
        <w:rPr>
          <w:color w:val="000000" w:themeColor="text1"/>
          <w:sz w:val="24"/>
          <w:szCs w:val="24"/>
          <w:lang w:val="en-US"/>
        </w:rPr>
        <w:t>, physicians will benefit from a further help to deal with what is still a big problem in the management of organ transplantation patients.</w:t>
      </w:r>
    </w:p>
    <w:p w14:paraId="1BFAE5EA" w14:textId="77777777" w:rsidR="00A130AA" w:rsidRPr="0034426D" w:rsidRDefault="007E72DD" w:rsidP="00F37EBE">
      <w:pPr>
        <w:spacing w:after="240" w:line="360" w:lineRule="auto"/>
        <w:jc w:val="both"/>
        <w:rPr>
          <w:color w:val="000000" w:themeColor="text1"/>
          <w:sz w:val="24"/>
          <w:szCs w:val="24"/>
          <w:lang w:val="en-US"/>
        </w:rPr>
      </w:pPr>
      <w:r w:rsidRPr="0034426D">
        <w:rPr>
          <w:color w:val="000000" w:themeColor="text1"/>
          <w:sz w:val="24"/>
          <w:szCs w:val="24"/>
          <w:lang w:val="en-US"/>
        </w:rPr>
        <w:t xml:space="preserve">Furthermore, the foregoing should be considered representative since </w:t>
      </w:r>
      <w:r w:rsidR="00655605" w:rsidRPr="0034426D">
        <w:rPr>
          <w:color w:val="000000" w:themeColor="text1"/>
          <w:sz w:val="24"/>
          <w:szCs w:val="24"/>
          <w:lang w:val="en-US"/>
        </w:rPr>
        <w:t xml:space="preserve">it </w:t>
      </w:r>
      <w:r w:rsidRPr="0034426D">
        <w:rPr>
          <w:color w:val="000000" w:themeColor="text1"/>
          <w:sz w:val="24"/>
          <w:szCs w:val="24"/>
          <w:lang w:val="en-US"/>
        </w:rPr>
        <w:t>illustrates an intriguing strategy that allows encapsulat</w:t>
      </w:r>
      <w:r w:rsidR="0040464E" w:rsidRPr="0034426D">
        <w:rPr>
          <w:color w:val="000000" w:themeColor="text1"/>
          <w:sz w:val="24"/>
          <w:szCs w:val="24"/>
          <w:lang w:val="en-US"/>
        </w:rPr>
        <w:t>ing</w:t>
      </w:r>
      <w:r w:rsidRPr="0034426D">
        <w:rPr>
          <w:color w:val="000000" w:themeColor="text1"/>
          <w:sz w:val="24"/>
          <w:szCs w:val="24"/>
          <w:lang w:val="en-US"/>
        </w:rPr>
        <w:t xml:space="preserve"> and retain</w:t>
      </w:r>
      <w:r w:rsidR="0040464E" w:rsidRPr="0034426D">
        <w:rPr>
          <w:color w:val="000000" w:themeColor="text1"/>
          <w:sz w:val="24"/>
          <w:szCs w:val="24"/>
          <w:lang w:val="en-US"/>
        </w:rPr>
        <w:t>ing</w:t>
      </w:r>
      <w:r w:rsidRPr="0034426D">
        <w:rPr>
          <w:color w:val="000000" w:themeColor="text1"/>
          <w:sz w:val="24"/>
          <w:szCs w:val="24"/>
          <w:lang w:val="en-US"/>
        </w:rPr>
        <w:t xml:space="preserve"> diffusible molecules inside red blood cells, otherwise not feasible with the classic loading procedure. It is a clear example of druggable proteins, a concept that could </w:t>
      </w:r>
      <w:r w:rsidR="0040464E" w:rsidRPr="0034426D">
        <w:rPr>
          <w:color w:val="000000" w:themeColor="text1"/>
          <w:sz w:val="24"/>
          <w:szCs w:val="24"/>
          <w:lang w:val="en-US"/>
        </w:rPr>
        <w:t>be</w:t>
      </w:r>
      <w:r w:rsidRPr="0034426D">
        <w:rPr>
          <w:color w:val="000000" w:themeColor="text1"/>
          <w:sz w:val="24"/>
          <w:szCs w:val="24"/>
          <w:lang w:val="en-US"/>
        </w:rPr>
        <w:t xml:space="preserve"> extended to all human </w:t>
      </w:r>
      <w:r w:rsidR="00F37EBE" w:rsidRPr="0034426D">
        <w:rPr>
          <w:color w:val="000000" w:themeColor="text1"/>
          <w:sz w:val="24"/>
          <w:szCs w:val="24"/>
          <w:lang w:val="en-US"/>
        </w:rPr>
        <w:t>potentially</w:t>
      </w:r>
      <w:r w:rsidR="00F37EBE" w:rsidRPr="0034426D">
        <w:rPr>
          <w:i/>
          <w:color w:val="000000" w:themeColor="text1"/>
          <w:sz w:val="24"/>
          <w:szCs w:val="24"/>
          <w:lang w:val="en-US"/>
        </w:rPr>
        <w:t xml:space="preserve"> </w:t>
      </w:r>
      <w:r w:rsidR="008F131C" w:rsidRPr="0034426D">
        <w:rPr>
          <w:color w:val="000000" w:themeColor="text1"/>
          <w:sz w:val="24"/>
          <w:szCs w:val="24"/>
          <w:lang w:val="en-US"/>
        </w:rPr>
        <w:t>druggable</w:t>
      </w:r>
      <w:r w:rsidRPr="0034426D">
        <w:rPr>
          <w:color w:val="000000" w:themeColor="text1"/>
          <w:sz w:val="24"/>
          <w:szCs w:val="24"/>
          <w:lang w:val="en-US"/>
        </w:rPr>
        <w:t xml:space="preserve"> proteins </w:t>
      </w:r>
      <w:r w:rsidR="00F37EBE" w:rsidRPr="0034426D">
        <w:rPr>
          <w:color w:val="000000" w:themeColor="text1"/>
          <w:sz w:val="24"/>
          <w:szCs w:val="24"/>
          <w:lang w:val="en-US"/>
        </w:rPr>
        <w:t xml:space="preserve">or alternatively to protein domains </w:t>
      </w:r>
      <w:r w:rsidRPr="0034426D">
        <w:rPr>
          <w:color w:val="000000" w:themeColor="text1"/>
          <w:sz w:val="24"/>
          <w:szCs w:val="24"/>
          <w:lang w:val="en-US"/>
        </w:rPr>
        <w:t>present in human genome</w:t>
      </w:r>
      <w:r w:rsidR="00F37EBE" w:rsidRPr="0034426D">
        <w:rPr>
          <w:color w:val="000000" w:themeColor="text1"/>
          <w:sz w:val="24"/>
          <w:szCs w:val="24"/>
          <w:lang w:val="en-US"/>
        </w:rPr>
        <w:t>.</w:t>
      </w:r>
      <w:r w:rsidRPr="0034426D">
        <w:rPr>
          <w:color w:val="000000" w:themeColor="text1"/>
          <w:sz w:val="24"/>
          <w:szCs w:val="24"/>
          <w:lang w:val="en-US"/>
        </w:rPr>
        <w:t xml:space="preserve"> Moreover, it could be possible to engineer the protein by site-specific mutagenesis, </w:t>
      </w:r>
      <w:r w:rsidR="0040464E" w:rsidRPr="0034426D">
        <w:rPr>
          <w:color w:val="000000" w:themeColor="text1"/>
          <w:sz w:val="24"/>
          <w:szCs w:val="24"/>
          <w:lang w:val="en-US"/>
        </w:rPr>
        <w:t xml:space="preserve">consequently </w:t>
      </w:r>
      <w:r w:rsidRPr="0034426D">
        <w:rPr>
          <w:color w:val="000000" w:themeColor="text1"/>
          <w:sz w:val="24"/>
          <w:szCs w:val="24"/>
          <w:lang w:val="en-US"/>
        </w:rPr>
        <w:t xml:space="preserve">increasing or decreasing </w:t>
      </w:r>
      <w:r w:rsidR="0040464E" w:rsidRPr="0034426D">
        <w:rPr>
          <w:color w:val="000000" w:themeColor="text1"/>
          <w:sz w:val="24"/>
          <w:szCs w:val="24"/>
          <w:lang w:val="en-US"/>
        </w:rPr>
        <w:t>its</w:t>
      </w:r>
      <w:r w:rsidRPr="0034426D">
        <w:rPr>
          <w:color w:val="000000" w:themeColor="text1"/>
          <w:sz w:val="24"/>
          <w:szCs w:val="24"/>
          <w:lang w:val="en-US"/>
        </w:rPr>
        <w:t xml:space="preserve"> affinity for the therapeutic agent, with the aim to modulate the dissociation rate of the drug of interest</w:t>
      </w:r>
      <w:r w:rsidR="004C733F" w:rsidRPr="0034426D">
        <w:rPr>
          <w:color w:val="000000" w:themeColor="text1"/>
          <w:sz w:val="24"/>
          <w:szCs w:val="24"/>
          <w:lang w:val="en-US"/>
        </w:rPr>
        <w:t>,</w:t>
      </w:r>
      <w:r w:rsidRPr="0034426D">
        <w:rPr>
          <w:color w:val="000000" w:themeColor="text1"/>
          <w:sz w:val="24"/>
          <w:szCs w:val="24"/>
          <w:lang w:val="en-US"/>
        </w:rPr>
        <w:t xml:space="preserve"> thus improving its pharmacokinetics. Alternatively, drugs themselves could be modif</w:t>
      </w:r>
      <w:r w:rsidR="004C733F" w:rsidRPr="0034426D">
        <w:rPr>
          <w:color w:val="000000" w:themeColor="text1"/>
          <w:sz w:val="24"/>
          <w:szCs w:val="24"/>
          <w:lang w:val="en-US"/>
        </w:rPr>
        <w:t>ied</w:t>
      </w:r>
      <w:r w:rsidRPr="0034426D">
        <w:rPr>
          <w:color w:val="000000" w:themeColor="text1"/>
          <w:sz w:val="24"/>
          <w:szCs w:val="24"/>
          <w:lang w:val="en-US"/>
        </w:rPr>
        <w:t xml:space="preserve"> to acquire high affinity for immunophilins (</w:t>
      </w:r>
      <w:r w:rsidR="004C733F" w:rsidRPr="0034426D">
        <w:rPr>
          <w:color w:val="000000" w:themeColor="text1"/>
          <w:sz w:val="24"/>
          <w:szCs w:val="24"/>
          <w:lang w:val="en-US"/>
        </w:rPr>
        <w:t xml:space="preserve">either </w:t>
      </w:r>
      <w:r w:rsidRPr="0034426D">
        <w:rPr>
          <w:color w:val="000000" w:themeColor="text1"/>
          <w:sz w:val="24"/>
          <w:szCs w:val="24"/>
          <w:lang w:val="en-US"/>
        </w:rPr>
        <w:t xml:space="preserve">physiological or derived from engineered RBCs) to reduce their metabolism, improve their half-life and act as a slow and sustained delivery system </w:t>
      </w:r>
      <w:r w:rsidR="00024ED7" w:rsidRPr="0034426D">
        <w:rPr>
          <w:color w:val="000000" w:themeColor="text1"/>
          <w:sz w:val="24"/>
          <w:szCs w:val="24"/>
          <w:lang w:val="en-US"/>
        </w:rPr>
        <w:t>[</w:t>
      </w:r>
      <w:r w:rsidR="004B5FC9" w:rsidRPr="0034426D">
        <w:rPr>
          <w:color w:val="000000" w:themeColor="text1"/>
          <w:sz w:val="24"/>
          <w:szCs w:val="24"/>
          <w:lang w:val="en-US"/>
        </w:rPr>
        <w:t>13</w:t>
      </w:r>
      <w:r w:rsidR="004B5FC9">
        <w:rPr>
          <w:color w:val="000000" w:themeColor="text1"/>
          <w:sz w:val="24"/>
          <w:szCs w:val="24"/>
          <w:lang w:val="en-US"/>
        </w:rPr>
        <w:t>7</w:t>
      </w:r>
      <w:r w:rsidR="00024ED7" w:rsidRPr="0034426D">
        <w:rPr>
          <w:color w:val="000000" w:themeColor="text1"/>
          <w:sz w:val="24"/>
          <w:szCs w:val="24"/>
          <w:lang w:val="en-US"/>
        </w:rPr>
        <w:t>]</w:t>
      </w:r>
      <w:r w:rsidRPr="0034426D">
        <w:rPr>
          <w:color w:val="000000" w:themeColor="text1"/>
          <w:sz w:val="24"/>
          <w:szCs w:val="24"/>
          <w:lang w:val="en-US"/>
        </w:rPr>
        <w:t>.</w:t>
      </w:r>
    </w:p>
    <w:p w14:paraId="0352F69D" w14:textId="77777777" w:rsidR="00453456" w:rsidRPr="0034426D" w:rsidRDefault="00453456" w:rsidP="007E72DD">
      <w:pPr>
        <w:spacing w:line="360" w:lineRule="auto"/>
        <w:contextualSpacing/>
        <w:jc w:val="both"/>
        <w:rPr>
          <w:color w:val="000000" w:themeColor="text1"/>
          <w:sz w:val="24"/>
          <w:szCs w:val="24"/>
          <w:lang w:val="en-US"/>
        </w:rPr>
      </w:pPr>
    </w:p>
    <w:p w14:paraId="20CB85C8" w14:textId="77777777" w:rsidR="00954F83" w:rsidRPr="0034426D" w:rsidRDefault="00954F83" w:rsidP="00341D07">
      <w:pPr>
        <w:spacing w:line="360" w:lineRule="auto"/>
        <w:jc w:val="both"/>
        <w:rPr>
          <w:rFonts w:cs="AdvTT5235d5a9"/>
          <w:b/>
          <w:color w:val="000000"/>
          <w:sz w:val="24"/>
          <w:szCs w:val="24"/>
          <w:lang w:val="en-US"/>
        </w:rPr>
      </w:pPr>
      <w:r w:rsidRPr="0034426D">
        <w:rPr>
          <w:b/>
          <w:sz w:val="24"/>
          <w:szCs w:val="24"/>
          <w:lang w:val="en-US"/>
        </w:rPr>
        <w:t>3. Contrasting agents: main limitations to</w:t>
      </w:r>
      <w:r w:rsidRPr="0034426D">
        <w:rPr>
          <w:rFonts w:cs="AdvTT5235d5a9"/>
          <w:b/>
          <w:color w:val="000000"/>
          <w:sz w:val="24"/>
          <w:szCs w:val="24"/>
          <w:lang w:val="en-US"/>
        </w:rPr>
        <w:t xml:space="preserve"> their use and RBC-based strateg</w:t>
      </w:r>
      <w:r w:rsidR="00F23B1F" w:rsidRPr="0034426D">
        <w:rPr>
          <w:rFonts w:cs="AdvTT5235d5a9"/>
          <w:b/>
          <w:color w:val="000000"/>
          <w:sz w:val="24"/>
          <w:szCs w:val="24"/>
          <w:lang w:val="en-US"/>
        </w:rPr>
        <w:t>ies</w:t>
      </w:r>
      <w:r w:rsidRPr="0034426D">
        <w:rPr>
          <w:rFonts w:cs="AdvTT5235d5a9"/>
          <w:b/>
          <w:color w:val="000000"/>
          <w:sz w:val="24"/>
          <w:szCs w:val="24"/>
          <w:lang w:val="en-US"/>
        </w:rPr>
        <w:t xml:space="preserve"> to overcome them</w:t>
      </w:r>
    </w:p>
    <w:p w14:paraId="3AD80B99" w14:textId="77777777" w:rsidR="00954F83" w:rsidRPr="0034426D" w:rsidRDefault="00954F83" w:rsidP="00A313BB">
      <w:pPr>
        <w:spacing w:after="0" w:line="360" w:lineRule="auto"/>
        <w:jc w:val="both"/>
        <w:rPr>
          <w:b/>
          <w:sz w:val="24"/>
          <w:szCs w:val="24"/>
          <w:lang w:val="en-US"/>
        </w:rPr>
      </w:pPr>
      <w:r w:rsidRPr="0034426D">
        <w:rPr>
          <w:b/>
          <w:sz w:val="24"/>
          <w:szCs w:val="24"/>
          <w:lang w:val="en-US"/>
        </w:rPr>
        <w:t>3.1 Cyanine dyes and fluorescence imaging: pharmacokinetic issues and poten</w:t>
      </w:r>
      <w:r w:rsidR="00A313BB" w:rsidRPr="0034426D">
        <w:rPr>
          <w:b/>
          <w:sz w:val="24"/>
          <w:szCs w:val="24"/>
          <w:lang w:val="en-US"/>
        </w:rPr>
        <w:t>tial solutions in ophthalmology</w:t>
      </w:r>
    </w:p>
    <w:p w14:paraId="0D41B112" w14:textId="77777777" w:rsidR="00954F83" w:rsidRPr="0034426D" w:rsidRDefault="00954F83" w:rsidP="00CB7D9A">
      <w:pPr>
        <w:autoSpaceDE w:val="0"/>
        <w:autoSpaceDN w:val="0"/>
        <w:adjustRightInd w:val="0"/>
        <w:spacing w:after="0" w:line="360" w:lineRule="auto"/>
        <w:contextualSpacing/>
        <w:jc w:val="both"/>
        <w:rPr>
          <w:rFonts w:cs="Times New Roman"/>
          <w:sz w:val="24"/>
          <w:szCs w:val="24"/>
          <w:lang w:val="en-US"/>
        </w:rPr>
      </w:pPr>
      <w:r w:rsidRPr="0034426D">
        <w:rPr>
          <w:sz w:val="24"/>
          <w:szCs w:val="24"/>
          <w:lang w:val="en-US"/>
        </w:rPr>
        <w:t>Near-infrared fluorescence (NIRF) molecular imaging is emerging in many different medical fields as a noninvasive technique for disease imaging and tissue characterization. This is a non</w:t>
      </w:r>
      <w:r w:rsidR="00F23B1F" w:rsidRPr="0034426D">
        <w:rPr>
          <w:sz w:val="24"/>
          <w:szCs w:val="24"/>
          <w:lang w:val="en-US"/>
        </w:rPr>
        <w:t>-</w:t>
      </w:r>
      <w:r w:rsidRPr="0034426D">
        <w:rPr>
          <w:sz w:val="24"/>
          <w:szCs w:val="24"/>
          <w:lang w:val="en-US"/>
        </w:rPr>
        <w:t xml:space="preserve">ionizing, harmless, and highly sensitive diagnostic procedure that can potentially provide the sensitivity of nuclear medicine techniques, but without the limitations of usage due to radioactivity. Currently </w:t>
      </w:r>
      <w:r w:rsidRPr="0034426D">
        <w:rPr>
          <w:sz w:val="24"/>
          <w:szCs w:val="24"/>
          <w:lang w:val="en-US"/>
        </w:rPr>
        <w:lastRenderedPageBreak/>
        <w:t xml:space="preserve">the only NIRF contrast agent approved by the United States Food and Drug Administration (FDA) for direct intravenous administration in medical diagnostics is Indocyanine Green (ICG) </w:t>
      </w:r>
      <w:r w:rsidR="00DA33DE" w:rsidRPr="0034426D">
        <w:rPr>
          <w:sz w:val="24"/>
          <w:szCs w:val="24"/>
          <w:lang w:val="en-US"/>
        </w:rPr>
        <w:t>[</w:t>
      </w:r>
      <w:r w:rsidR="004B5FC9" w:rsidRPr="0034426D">
        <w:rPr>
          <w:sz w:val="24"/>
          <w:szCs w:val="24"/>
          <w:lang w:val="en-US"/>
        </w:rPr>
        <w:t>13</w:t>
      </w:r>
      <w:r w:rsidR="004B5FC9">
        <w:rPr>
          <w:sz w:val="24"/>
          <w:szCs w:val="24"/>
          <w:lang w:val="en-US"/>
        </w:rPr>
        <w:t>8</w:t>
      </w:r>
      <w:r w:rsidR="00DA33DE" w:rsidRPr="0034426D">
        <w:rPr>
          <w:sz w:val="24"/>
          <w:szCs w:val="24"/>
          <w:lang w:val="en-US"/>
        </w:rPr>
        <w:t>,</w:t>
      </w:r>
      <w:r w:rsidR="004B5FC9" w:rsidRPr="0034426D">
        <w:rPr>
          <w:sz w:val="24"/>
          <w:szCs w:val="24"/>
          <w:lang w:val="en-US"/>
        </w:rPr>
        <w:t>1</w:t>
      </w:r>
      <w:r w:rsidR="004B5FC9">
        <w:rPr>
          <w:sz w:val="24"/>
          <w:szCs w:val="24"/>
          <w:lang w:val="en-US"/>
        </w:rPr>
        <w:t>39</w:t>
      </w:r>
      <w:r w:rsidR="00DA33DE" w:rsidRPr="0034426D">
        <w:rPr>
          <w:sz w:val="24"/>
          <w:szCs w:val="24"/>
          <w:lang w:val="en-US"/>
        </w:rPr>
        <w:t>]</w:t>
      </w:r>
      <w:r w:rsidRPr="0034426D">
        <w:rPr>
          <w:sz w:val="24"/>
          <w:szCs w:val="24"/>
          <w:lang w:val="en-US"/>
        </w:rPr>
        <w:t xml:space="preserve">. ICG is a water-soluble, amphiphilic tricarbocyanine dye with a molecular mass of 776 Da and the adsorption and emission maxima around 780 and 810 nm, respectively </w:t>
      </w:r>
      <w:r w:rsidR="00DA33DE" w:rsidRPr="0034426D">
        <w:rPr>
          <w:sz w:val="24"/>
          <w:szCs w:val="24"/>
          <w:lang w:val="en-US"/>
        </w:rPr>
        <w:t>[1</w:t>
      </w:r>
      <w:r w:rsidR="00B64D58">
        <w:rPr>
          <w:sz w:val="24"/>
          <w:szCs w:val="24"/>
          <w:lang w:val="en-US"/>
        </w:rPr>
        <w:t>4</w:t>
      </w:r>
      <w:r w:rsidR="004B5FC9">
        <w:rPr>
          <w:sz w:val="24"/>
          <w:szCs w:val="24"/>
          <w:lang w:val="en-US"/>
        </w:rPr>
        <w:t>0</w:t>
      </w:r>
      <w:r w:rsidR="00DA33DE" w:rsidRPr="0034426D">
        <w:rPr>
          <w:sz w:val="24"/>
          <w:szCs w:val="24"/>
          <w:lang w:val="en-US"/>
        </w:rPr>
        <w:t>]</w:t>
      </w:r>
      <w:r w:rsidRPr="0034426D">
        <w:rPr>
          <w:sz w:val="24"/>
          <w:szCs w:val="24"/>
          <w:lang w:val="en-US"/>
        </w:rPr>
        <w:t xml:space="preserve">. Due to its low toxicity (LD50 of 50-80 mg/kg) </w:t>
      </w:r>
      <w:r w:rsidR="00DA33DE" w:rsidRPr="0034426D">
        <w:rPr>
          <w:sz w:val="24"/>
          <w:szCs w:val="24"/>
          <w:lang w:val="en-US"/>
        </w:rPr>
        <w:t>[</w:t>
      </w:r>
      <w:r w:rsidR="004B5FC9" w:rsidRPr="0034426D">
        <w:rPr>
          <w:sz w:val="24"/>
          <w:szCs w:val="24"/>
          <w:lang w:val="en-US"/>
        </w:rPr>
        <w:t>1</w:t>
      </w:r>
      <w:r w:rsidR="004B5FC9">
        <w:rPr>
          <w:sz w:val="24"/>
          <w:szCs w:val="24"/>
          <w:lang w:val="en-US"/>
        </w:rPr>
        <w:t>41</w:t>
      </w:r>
      <w:r w:rsidR="00DA33DE" w:rsidRPr="0034426D">
        <w:rPr>
          <w:sz w:val="24"/>
          <w:szCs w:val="24"/>
          <w:lang w:val="en-US"/>
        </w:rPr>
        <w:t>]</w:t>
      </w:r>
      <w:r w:rsidRPr="0034426D">
        <w:rPr>
          <w:sz w:val="24"/>
          <w:szCs w:val="24"/>
          <w:lang w:val="en-US"/>
        </w:rPr>
        <w:t xml:space="preserve"> and capacity to absorb and emit in the NIR spectral range, ICG is clinically </w:t>
      </w:r>
      <w:r w:rsidR="00F23B1F" w:rsidRPr="0034426D">
        <w:rPr>
          <w:sz w:val="24"/>
          <w:szCs w:val="24"/>
          <w:lang w:val="en-US"/>
        </w:rPr>
        <w:t xml:space="preserve">used </w:t>
      </w:r>
      <w:r w:rsidRPr="0034426D">
        <w:rPr>
          <w:sz w:val="24"/>
          <w:szCs w:val="24"/>
          <w:lang w:val="en-US"/>
        </w:rPr>
        <w:t xml:space="preserve">as a non-targeting NIRF contrast agent </w:t>
      </w:r>
      <w:r w:rsidR="00F23B1F" w:rsidRPr="0034426D">
        <w:rPr>
          <w:sz w:val="24"/>
          <w:szCs w:val="24"/>
          <w:lang w:val="en-US"/>
        </w:rPr>
        <w:t>to</w:t>
      </w:r>
      <w:r w:rsidRPr="0034426D">
        <w:rPr>
          <w:sz w:val="24"/>
          <w:szCs w:val="24"/>
          <w:lang w:val="en-US"/>
        </w:rPr>
        <w:t xml:space="preserve"> guid</w:t>
      </w:r>
      <w:r w:rsidR="00F23B1F" w:rsidRPr="0034426D">
        <w:rPr>
          <w:sz w:val="24"/>
          <w:szCs w:val="24"/>
          <w:lang w:val="en-US"/>
        </w:rPr>
        <w:t>e</w:t>
      </w:r>
      <w:r w:rsidRPr="0034426D">
        <w:rPr>
          <w:sz w:val="24"/>
          <w:szCs w:val="24"/>
          <w:lang w:val="en-US"/>
        </w:rPr>
        <w:t xml:space="preserve"> biopsies </w:t>
      </w:r>
      <w:r w:rsidR="00DA33DE" w:rsidRPr="0034426D">
        <w:rPr>
          <w:sz w:val="24"/>
          <w:szCs w:val="24"/>
          <w:lang w:val="en-US"/>
        </w:rPr>
        <w:t>[14</w:t>
      </w:r>
      <w:r w:rsidR="004B5FC9">
        <w:rPr>
          <w:sz w:val="24"/>
          <w:szCs w:val="24"/>
          <w:lang w:val="en-US"/>
        </w:rPr>
        <w:t>2</w:t>
      </w:r>
      <w:r w:rsidR="00DA33DE" w:rsidRPr="0034426D">
        <w:rPr>
          <w:sz w:val="24"/>
          <w:szCs w:val="24"/>
          <w:lang w:val="en-US"/>
        </w:rPr>
        <w:t>-14</w:t>
      </w:r>
      <w:r w:rsidR="004B5FC9">
        <w:rPr>
          <w:sz w:val="24"/>
          <w:szCs w:val="24"/>
          <w:lang w:val="en-US"/>
        </w:rPr>
        <w:t>4</w:t>
      </w:r>
      <w:r w:rsidR="00DA33DE" w:rsidRPr="0034426D">
        <w:rPr>
          <w:sz w:val="24"/>
          <w:szCs w:val="24"/>
          <w:lang w:val="en-US"/>
        </w:rPr>
        <w:t>]</w:t>
      </w:r>
      <w:r w:rsidRPr="0034426D">
        <w:rPr>
          <w:sz w:val="24"/>
          <w:szCs w:val="24"/>
          <w:lang w:val="en-US"/>
        </w:rPr>
        <w:t xml:space="preserve">, demark blood or lymphatic vasculatures and study liver function, cardiac output or ophthalmic perfusion </w:t>
      </w:r>
      <w:r w:rsidR="00DA33DE" w:rsidRPr="0034426D">
        <w:rPr>
          <w:sz w:val="24"/>
          <w:szCs w:val="24"/>
          <w:lang w:val="en-US"/>
        </w:rPr>
        <w:t>[</w:t>
      </w:r>
      <w:r w:rsidR="00B64D58" w:rsidRPr="0034426D">
        <w:rPr>
          <w:sz w:val="24"/>
          <w:szCs w:val="24"/>
          <w:lang w:val="en-US"/>
        </w:rPr>
        <w:t>14</w:t>
      </w:r>
      <w:r w:rsidR="004B5FC9">
        <w:rPr>
          <w:sz w:val="24"/>
          <w:szCs w:val="24"/>
          <w:lang w:val="en-US"/>
        </w:rPr>
        <w:t>5</w:t>
      </w:r>
      <w:r w:rsidR="00DA33DE" w:rsidRPr="0034426D">
        <w:rPr>
          <w:sz w:val="24"/>
          <w:szCs w:val="24"/>
          <w:lang w:val="en-US"/>
        </w:rPr>
        <w:t>]</w:t>
      </w:r>
      <w:r w:rsidRPr="0034426D">
        <w:rPr>
          <w:sz w:val="24"/>
          <w:szCs w:val="24"/>
          <w:lang w:val="en-US"/>
        </w:rPr>
        <w:t xml:space="preserve">. Despite its many advantages, ICG </w:t>
      </w:r>
      <w:r w:rsidR="00F23B1F" w:rsidRPr="0034426D">
        <w:rPr>
          <w:sz w:val="24"/>
          <w:szCs w:val="24"/>
          <w:lang w:val="en-US"/>
        </w:rPr>
        <w:t xml:space="preserve">use </w:t>
      </w:r>
      <w:r w:rsidRPr="0034426D">
        <w:rPr>
          <w:sz w:val="24"/>
          <w:szCs w:val="24"/>
          <w:lang w:val="en-US"/>
        </w:rPr>
        <w:t>is still limited by several drawbacks: first of all</w:t>
      </w:r>
      <w:r w:rsidR="00F23B1F" w:rsidRPr="0034426D">
        <w:rPr>
          <w:sz w:val="24"/>
          <w:szCs w:val="24"/>
          <w:lang w:val="en-US"/>
        </w:rPr>
        <w:t>,</w:t>
      </w:r>
      <w:r w:rsidRPr="0034426D">
        <w:rPr>
          <w:sz w:val="24"/>
          <w:szCs w:val="24"/>
          <w:lang w:val="en-US"/>
        </w:rPr>
        <w:t xml:space="preserve"> it aggregates easily into amphiphilic molecules in aqueous solutions to induce self-quenching and low quantum yields </w:t>
      </w:r>
      <w:r w:rsidR="00DA33DE" w:rsidRPr="0034426D">
        <w:rPr>
          <w:sz w:val="24"/>
          <w:szCs w:val="24"/>
          <w:lang w:val="en-US"/>
        </w:rPr>
        <w:t>[</w:t>
      </w:r>
      <w:r w:rsidR="004B5FC9" w:rsidRPr="0034426D">
        <w:rPr>
          <w:sz w:val="24"/>
          <w:szCs w:val="24"/>
          <w:lang w:val="en-US"/>
        </w:rPr>
        <w:t>14</w:t>
      </w:r>
      <w:r w:rsidR="004B5FC9">
        <w:rPr>
          <w:sz w:val="24"/>
          <w:szCs w:val="24"/>
          <w:lang w:val="en-US"/>
        </w:rPr>
        <w:t>6</w:t>
      </w:r>
      <w:r w:rsidR="00DA33DE" w:rsidRPr="0034426D">
        <w:rPr>
          <w:sz w:val="24"/>
          <w:szCs w:val="24"/>
          <w:lang w:val="en-US"/>
        </w:rPr>
        <w:t>]</w:t>
      </w:r>
      <w:r w:rsidRPr="0034426D">
        <w:rPr>
          <w:sz w:val="24"/>
          <w:szCs w:val="24"/>
          <w:lang w:val="en-US"/>
        </w:rPr>
        <w:t xml:space="preserve">; secondly, when administered in molecular form, ICG is rapidly cleared from the body with a very short plasma half-life </w:t>
      </w:r>
      <w:r w:rsidR="00F23B1F" w:rsidRPr="0034426D">
        <w:rPr>
          <w:sz w:val="24"/>
          <w:szCs w:val="24"/>
          <w:lang w:val="en-US"/>
        </w:rPr>
        <w:t xml:space="preserve">of </w:t>
      </w:r>
      <w:r w:rsidRPr="0034426D">
        <w:rPr>
          <w:sz w:val="24"/>
          <w:szCs w:val="24"/>
          <w:lang w:val="en-US"/>
        </w:rPr>
        <w:t xml:space="preserve">about 2-4 min </w:t>
      </w:r>
      <w:r w:rsidR="00DA33DE" w:rsidRPr="0034426D">
        <w:rPr>
          <w:sz w:val="24"/>
          <w:szCs w:val="24"/>
          <w:lang w:val="en-US"/>
        </w:rPr>
        <w:t>[</w:t>
      </w:r>
      <w:r w:rsidR="004B5FC9" w:rsidRPr="0034426D">
        <w:rPr>
          <w:sz w:val="24"/>
          <w:szCs w:val="24"/>
          <w:lang w:val="en-US"/>
        </w:rPr>
        <w:t>14</w:t>
      </w:r>
      <w:r w:rsidR="004B5FC9">
        <w:rPr>
          <w:sz w:val="24"/>
          <w:szCs w:val="24"/>
          <w:lang w:val="en-US"/>
        </w:rPr>
        <w:t>7</w:t>
      </w:r>
      <w:r w:rsidR="00DA33DE" w:rsidRPr="0034426D">
        <w:rPr>
          <w:sz w:val="24"/>
          <w:szCs w:val="24"/>
          <w:lang w:val="en-US"/>
        </w:rPr>
        <w:t>-</w:t>
      </w:r>
      <w:r w:rsidR="004B5FC9" w:rsidRPr="0034426D">
        <w:rPr>
          <w:sz w:val="24"/>
          <w:szCs w:val="24"/>
          <w:lang w:val="en-US"/>
        </w:rPr>
        <w:t>1</w:t>
      </w:r>
      <w:r w:rsidR="004B5FC9">
        <w:rPr>
          <w:sz w:val="24"/>
          <w:szCs w:val="24"/>
          <w:lang w:val="en-US"/>
        </w:rPr>
        <w:t>49</w:t>
      </w:r>
      <w:r w:rsidR="00DA33DE" w:rsidRPr="0034426D">
        <w:rPr>
          <w:sz w:val="24"/>
          <w:szCs w:val="24"/>
          <w:lang w:val="en-US"/>
        </w:rPr>
        <w:t>]</w:t>
      </w:r>
      <w:r w:rsidRPr="0034426D">
        <w:rPr>
          <w:sz w:val="24"/>
          <w:szCs w:val="24"/>
          <w:lang w:val="en-US"/>
        </w:rPr>
        <w:t xml:space="preserve">, thus limiting the time available to image body regions during its vascular circulation. Since plasma levels fall </w:t>
      </w:r>
      <w:r w:rsidR="00F23B1F" w:rsidRPr="0034426D">
        <w:rPr>
          <w:sz w:val="24"/>
          <w:szCs w:val="24"/>
          <w:lang w:val="en-US"/>
        </w:rPr>
        <w:t xml:space="preserve">to low values </w:t>
      </w:r>
      <w:r w:rsidRPr="0034426D">
        <w:rPr>
          <w:sz w:val="24"/>
          <w:szCs w:val="24"/>
          <w:lang w:val="en-US"/>
        </w:rPr>
        <w:t xml:space="preserve">within minutes after intravenous administration, </w:t>
      </w:r>
      <w:r w:rsidR="00826469" w:rsidRPr="0034426D">
        <w:rPr>
          <w:sz w:val="24"/>
          <w:szCs w:val="24"/>
          <w:lang w:val="en-US"/>
        </w:rPr>
        <w:t xml:space="preserve">ICG is not so far a reasonable candidate for the </w:t>
      </w:r>
      <w:r w:rsidR="008F131C" w:rsidRPr="0034426D">
        <w:rPr>
          <w:sz w:val="24"/>
          <w:szCs w:val="24"/>
          <w:lang w:val="en-US"/>
        </w:rPr>
        <w:t>clinical follow-up</w:t>
      </w:r>
      <w:r w:rsidRPr="0034426D">
        <w:rPr>
          <w:sz w:val="24"/>
          <w:szCs w:val="24"/>
          <w:lang w:val="en-US"/>
        </w:rPr>
        <w:t>. The fast plasma clearance caused by rapid liver uptake challenges imaging performance, which requires fast systems capable of monitoring the rapidly changing concentration of the dye after administration. In addition, it often strongly binds to plasma proteins</w:t>
      </w:r>
      <w:r w:rsidR="00F23B1F" w:rsidRPr="0034426D">
        <w:rPr>
          <w:sz w:val="24"/>
          <w:szCs w:val="24"/>
          <w:lang w:val="en-US"/>
        </w:rPr>
        <w:t>,</w:t>
      </w:r>
      <w:r w:rsidRPr="0034426D">
        <w:rPr>
          <w:sz w:val="24"/>
          <w:szCs w:val="24"/>
          <w:lang w:val="en-US"/>
        </w:rPr>
        <w:t xml:space="preserve"> showing negligible extravasation but leading to rapid agglomeration </w:t>
      </w:r>
      <w:r w:rsidR="00DA33DE" w:rsidRPr="0034426D">
        <w:rPr>
          <w:sz w:val="24"/>
          <w:szCs w:val="24"/>
          <w:lang w:val="en-US"/>
        </w:rPr>
        <w:t>[</w:t>
      </w:r>
      <w:r w:rsidR="004B5FC9" w:rsidRPr="0034426D">
        <w:rPr>
          <w:sz w:val="24"/>
          <w:szCs w:val="24"/>
          <w:lang w:val="en-US"/>
        </w:rPr>
        <w:t>1</w:t>
      </w:r>
      <w:r w:rsidR="004B5FC9">
        <w:rPr>
          <w:sz w:val="24"/>
          <w:szCs w:val="24"/>
          <w:lang w:val="en-US"/>
        </w:rPr>
        <w:t>41</w:t>
      </w:r>
      <w:r w:rsidR="00DA33DE" w:rsidRPr="0034426D">
        <w:rPr>
          <w:sz w:val="24"/>
          <w:szCs w:val="24"/>
          <w:lang w:val="en-US"/>
        </w:rPr>
        <w:t>]</w:t>
      </w:r>
      <w:r w:rsidR="00F23B1F" w:rsidRPr="0034426D">
        <w:rPr>
          <w:sz w:val="24"/>
          <w:szCs w:val="24"/>
          <w:lang w:val="en-US"/>
        </w:rPr>
        <w:t>,</w:t>
      </w:r>
      <w:r w:rsidRPr="0034426D">
        <w:rPr>
          <w:sz w:val="24"/>
          <w:szCs w:val="24"/>
          <w:lang w:val="en-US"/>
        </w:rPr>
        <w:t xml:space="preserve"> and it undergoes oxidation, resulting in decreased absorption/emission and variability in the maximum absorption wavelength </w:t>
      </w:r>
      <w:r w:rsidR="00DA33DE" w:rsidRPr="0034426D">
        <w:rPr>
          <w:sz w:val="24"/>
          <w:szCs w:val="24"/>
          <w:lang w:val="en-US"/>
        </w:rPr>
        <w:t>[</w:t>
      </w:r>
      <w:r w:rsidR="004B5FC9">
        <w:rPr>
          <w:sz w:val="24"/>
          <w:szCs w:val="24"/>
          <w:lang w:val="en-US"/>
        </w:rPr>
        <w:t>150</w:t>
      </w:r>
      <w:r w:rsidR="00B64D58">
        <w:rPr>
          <w:sz w:val="24"/>
          <w:szCs w:val="24"/>
          <w:lang w:val="en-US"/>
        </w:rPr>
        <w:t>,</w:t>
      </w:r>
      <w:r w:rsidR="004B5FC9">
        <w:rPr>
          <w:sz w:val="24"/>
          <w:szCs w:val="24"/>
          <w:lang w:val="en-US"/>
        </w:rPr>
        <w:t>151</w:t>
      </w:r>
      <w:r w:rsidR="00DA33DE" w:rsidRPr="0034426D">
        <w:rPr>
          <w:sz w:val="24"/>
          <w:szCs w:val="24"/>
          <w:lang w:val="en-US"/>
        </w:rPr>
        <w:t>]</w:t>
      </w:r>
      <w:r w:rsidRPr="0034426D">
        <w:rPr>
          <w:sz w:val="24"/>
          <w:szCs w:val="24"/>
          <w:lang w:val="en-US"/>
        </w:rPr>
        <w:t xml:space="preserve">. Finally, it is instable in aqueous solutions and prone to photo-bleaching under light exposure </w:t>
      </w:r>
      <w:r w:rsidR="00DA33DE" w:rsidRPr="0034426D">
        <w:rPr>
          <w:sz w:val="24"/>
          <w:szCs w:val="24"/>
          <w:lang w:val="en-US"/>
        </w:rPr>
        <w:t>[</w:t>
      </w:r>
      <w:r w:rsidR="004B5FC9">
        <w:rPr>
          <w:sz w:val="24"/>
          <w:szCs w:val="24"/>
          <w:lang w:val="en-US"/>
        </w:rPr>
        <w:t>148</w:t>
      </w:r>
      <w:r w:rsidR="00DA33DE" w:rsidRPr="0034426D">
        <w:rPr>
          <w:sz w:val="24"/>
          <w:szCs w:val="24"/>
          <w:lang w:val="en-US"/>
        </w:rPr>
        <w:t>,</w:t>
      </w:r>
      <w:r w:rsidR="004B5FC9" w:rsidRPr="0034426D">
        <w:rPr>
          <w:sz w:val="24"/>
          <w:szCs w:val="24"/>
          <w:lang w:val="en-US"/>
        </w:rPr>
        <w:t>15</w:t>
      </w:r>
      <w:r w:rsidR="004B5FC9">
        <w:rPr>
          <w:sz w:val="24"/>
          <w:szCs w:val="24"/>
          <w:lang w:val="en-US"/>
        </w:rPr>
        <w:t>2</w:t>
      </w:r>
      <w:r w:rsidR="00DA33DE" w:rsidRPr="0034426D">
        <w:rPr>
          <w:sz w:val="24"/>
          <w:szCs w:val="24"/>
          <w:lang w:val="en-US"/>
        </w:rPr>
        <w:t>]</w:t>
      </w:r>
      <w:r w:rsidRPr="0034426D">
        <w:rPr>
          <w:sz w:val="24"/>
          <w:szCs w:val="24"/>
          <w:lang w:val="en-US"/>
        </w:rPr>
        <w:t xml:space="preserve"> and it lacks target moieties for molecular imaging </w:t>
      </w:r>
      <w:r w:rsidR="00DA33DE" w:rsidRPr="0034426D">
        <w:rPr>
          <w:sz w:val="24"/>
          <w:szCs w:val="24"/>
          <w:lang w:val="en-US"/>
        </w:rPr>
        <w:t>[</w:t>
      </w:r>
      <w:r w:rsidR="004B5FC9" w:rsidRPr="0034426D">
        <w:rPr>
          <w:sz w:val="24"/>
          <w:szCs w:val="24"/>
          <w:lang w:val="en-US"/>
        </w:rPr>
        <w:t>15</w:t>
      </w:r>
      <w:r w:rsidR="004B5FC9">
        <w:rPr>
          <w:sz w:val="24"/>
          <w:szCs w:val="24"/>
          <w:lang w:val="en-US"/>
        </w:rPr>
        <w:t>3</w:t>
      </w:r>
      <w:r w:rsidR="00DA33DE" w:rsidRPr="0034426D">
        <w:rPr>
          <w:sz w:val="24"/>
          <w:szCs w:val="24"/>
          <w:lang w:val="en-US"/>
        </w:rPr>
        <w:t>]</w:t>
      </w:r>
      <w:r w:rsidRPr="0034426D">
        <w:rPr>
          <w:sz w:val="24"/>
          <w:szCs w:val="24"/>
          <w:lang w:val="en-US"/>
        </w:rPr>
        <w:t xml:space="preserve">. As regards in particular the ophthalmology field, important applications for fluorescence imaging and fluorescent dyes as contrast agents have been developed. </w:t>
      </w:r>
      <w:r w:rsidRPr="0034426D">
        <w:rPr>
          <w:sz w:val="24"/>
          <w:szCs w:val="24"/>
          <w:lang w:val="en-GB"/>
        </w:rPr>
        <w:t xml:space="preserve">The ICG dye </w:t>
      </w:r>
      <w:r w:rsidR="00F23B1F" w:rsidRPr="0034426D">
        <w:rPr>
          <w:sz w:val="24"/>
          <w:szCs w:val="24"/>
          <w:lang w:val="en-GB"/>
        </w:rPr>
        <w:t>has</w:t>
      </w:r>
      <w:r w:rsidRPr="0034426D">
        <w:rPr>
          <w:sz w:val="24"/>
          <w:szCs w:val="24"/>
          <w:lang w:val="en-GB"/>
        </w:rPr>
        <w:t xml:space="preserve"> an optimal fluorescent yield that allows the visualization of the ocular vascular bed during the angiographic exam of the retina. The </w:t>
      </w:r>
      <w:r w:rsidRPr="0034426D">
        <w:rPr>
          <w:rFonts w:cs="Times New Roman"/>
          <w:iCs/>
          <w:sz w:val="24"/>
          <w:szCs w:val="24"/>
          <w:lang w:val="en-US"/>
        </w:rPr>
        <w:t>ICG dye was first used in ophthalmology by Flower and Hochheimer in the early 1970</w:t>
      </w:r>
      <w:r w:rsidR="00F23B1F" w:rsidRPr="0034426D">
        <w:rPr>
          <w:rFonts w:cs="Times New Roman"/>
          <w:iCs/>
          <w:sz w:val="24"/>
          <w:szCs w:val="24"/>
          <w:lang w:val="en-US"/>
        </w:rPr>
        <w:t>s</w:t>
      </w:r>
      <w:r w:rsidRPr="0034426D">
        <w:rPr>
          <w:rFonts w:cs="Times New Roman"/>
          <w:iCs/>
          <w:sz w:val="24"/>
          <w:szCs w:val="24"/>
          <w:lang w:val="en-US"/>
        </w:rPr>
        <w:t xml:space="preserve"> to image the choroidal circulation </w:t>
      </w:r>
      <w:r w:rsidR="00DA33DE" w:rsidRPr="0034426D">
        <w:rPr>
          <w:rFonts w:cs="Times New Roman"/>
          <w:iCs/>
          <w:sz w:val="24"/>
          <w:szCs w:val="24"/>
          <w:lang w:val="en-US"/>
        </w:rPr>
        <w:t>[</w:t>
      </w:r>
      <w:r w:rsidR="004B5FC9" w:rsidRPr="0034426D">
        <w:rPr>
          <w:rFonts w:cs="Times New Roman"/>
          <w:iCs/>
          <w:sz w:val="24"/>
          <w:szCs w:val="24"/>
          <w:lang w:val="en-US"/>
        </w:rPr>
        <w:t>15</w:t>
      </w:r>
      <w:r w:rsidR="004B5FC9">
        <w:rPr>
          <w:rFonts w:cs="Times New Roman"/>
          <w:iCs/>
          <w:sz w:val="24"/>
          <w:szCs w:val="24"/>
          <w:lang w:val="en-US"/>
        </w:rPr>
        <w:t>4</w:t>
      </w:r>
      <w:r w:rsidR="00DA33DE" w:rsidRPr="0034426D">
        <w:rPr>
          <w:rFonts w:cs="Times New Roman"/>
          <w:iCs/>
          <w:sz w:val="24"/>
          <w:szCs w:val="24"/>
          <w:lang w:val="en-US"/>
        </w:rPr>
        <w:t>]</w:t>
      </w:r>
      <w:r w:rsidRPr="0034426D">
        <w:rPr>
          <w:rFonts w:cs="Times New Roman"/>
          <w:iCs/>
          <w:sz w:val="24"/>
          <w:szCs w:val="24"/>
          <w:lang w:val="en-US"/>
        </w:rPr>
        <w:t>. For the retina angiography, ICG is injected intravenously and is imaged as it passes through the ocular vessels; unfortunately, the ICG molecules are able to diffuse throughout the vessels</w:t>
      </w:r>
      <w:r w:rsidR="00F23B1F" w:rsidRPr="0034426D">
        <w:rPr>
          <w:rFonts w:cs="Times New Roman"/>
          <w:iCs/>
          <w:sz w:val="24"/>
          <w:szCs w:val="24"/>
          <w:lang w:val="en-US"/>
        </w:rPr>
        <w:t>,</w:t>
      </w:r>
      <w:r w:rsidRPr="0034426D">
        <w:rPr>
          <w:rFonts w:cs="Times New Roman"/>
          <w:iCs/>
          <w:sz w:val="24"/>
          <w:szCs w:val="24"/>
          <w:lang w:val="en-US"/>
        </w:rPr>
        <w:t xml:space="preserve"> thus influencing the angiographic </w:t>
      </w:r>
      <w:r w:rsidR="00B333E7" w:rsidRPr="0034426D">
        <w:rPr>
          <w:rFonts w:cs="Times New Roman"/>
          <w:iCs/>
          <w:sz w:val="24"/>
          <w:szCs w:val="24"/>
          <w:lang w:val="en-US"/>
        </w:rPr>
        <w:t>semiology</w:t>
      </w:r>
      <w:r w:rsidRPr="0034426D">
        <w:rPr>
          <w:rFonts w:cs="Times New Roman"/>
          <w:iCs/>
          <w:sz w:val="24"/>
          <w:szCs w:val="24"/>
          <w:lang w:val="en-US"/>
        </w:rPr>
        <w:t xml:space="preserve">. </w:t>
      </w:r>
      <w:r w:rsidRPr="0034426D">
        <w:rPr>
          <w:sz w:val="24"/>
          <w:szCs w:val="24"/>
          <w:lang w:val="en-US"/>
        </w:rPr>
        <w:t xml:space="preserve">Moreover, </w:t>
      </w:r>
      <w:r w:rsidR="00F23B1F" w:rsidRPr="0034426D">
        <w:rPr>
          <w:sz w:val="24"/>
          <w:szCs w:val="24"/>
          <w:lang w:val="en-US"/>
        </w:rPr>
        <w:t>inherent</w:t>
      </w:r>
      <w:r w:rsidRPr="0034426D">
        <w:rPr>
          <w:sz w:val="24"/>
          <w:szCs w:val="24"/>
          <w:lang w:val="en-US"/>
        </w:rPr>
        <w:t xml:space="preserve"> limitations in conventional angiography contribute to ignoring that the dynamics of plasma movement do not necessarily reflect the dynamics of erythrocyte movement, especially at the microvascular level where </w:t>
      </w:r>
      <w:r w:rsidR="006946FB" w:rsidRPr="0034426D">
        <w:rPr>
          <w:sz w:val="24"/>
          <w:szCs w:val="24"/>
          <w:lang w:val="en-US"/>
        </w:rPr>
        <w:t>RBC</w:t>
      </w:r>
      <w:r w:rsidRPr="0034426D">
        <w:rPr>
          <w:sz w:val="24"/>
          <w:szCs w:val="24"/>
          <w:lang w:val="en-US"/>
        </w:rPr>
        <w:t xml:space="preserve"> movement is far more important to the circulation's metabolic efficiency than that of plasma. In fact, i</w:t>
      </w:r>
      <w:r w:rsidR="00E259B3">
        <w:rPr>
          <w:sz w:val="24"/>
          <w:szCs w:val="24"/>
          <w:lang w:val="en-US"/>
        </w:rPr>
        <w:t>t is known that blood is a non-N</w:t>
      </w:r>
      <w:r w:rsidRPr="0034426D">
        <w:rPr>
          <w:sz w:val="24"/>
          <w:szCs w:val="24"/>
          <w:lang w:val="en-US"/>
        </w:rPr>
        <w:t>ewtonian fluid, i.e. a homogeneous mixture o</w:t>
      </w:r>
      <w:r w:rsidR="00E259B3">
        <w:rPr>
          <w:sz w:val="24"/>
          <w:szCs w:val="24"/>
          <w:lang w:val="en-US"/>
        </w:rPr>
        <w:t>f two distinctly different non-N</w:t>
      </w:r>
      <w:r w:rsidRPr="0034426D">
        <w:rPr>
          <w:sz w:val="24"/>
          <w:szCs w:val="24"/>
          <w:lang w:val="en-US"/>
        </w:rPr>
        <w:t xml:space="preserve">ewtonian fluids: liquid (plasma) and particles (blood cells, especially </w:t>
      </w:r>
      <w:r w:rsidR="00A461B8" w:rsidRPr="0034426D">
        <w:rPr>
          <w:sz w:val="24"/>
          <w:szCs w:val="24"/>
          <w:lang w:val="en-US"/>
        </w:rPr>
        <w:t>RBC</w:t>
      </w:r>
      <w:r w:rsidRPr="0034426D">
        <w:rPr>
          <w:sz w:val="24"/>
          <w:szCs w:val="24"/>
          <w:lang w:val="en-US"/>
        </w:rPr>
        <w:t xml:space="preserve">s). In </w:t>
      </w:r>
      <w:r w:rsidRPr="0034426D">
        <w:rPr>
          <w:sz w:val="24"/>
          <w:szCs w:val="24"/>
          <w:lang w:val="en-US"/>
        </w:rPr>
        <w:lastRenderedPageBreak/>
        <w:t xml:space="preserve">conventional indocyanine green angiography of the ocular vasculatures, </w:t>
      </w:r>
      <w:r w:rsidR="006946FB" w:rsidRPr="0034426D">
        <w:rPr>
          <w:sz w:val="24"/>
          <w:szCs w:val="24"/>
          <w:lang w:val="en-US"/>
        </w:rPr>
        <w:t xml:space="preserve">the </w:t>
      </w:r>
      <w:r w:rsidRPr="0034426D">
        <w:rPr>
          <w:sz w:val="24"/>
          <w:szCs w:val="24"/>
          <w:lang w:val="en-US"/>
        </w:rPr>
        <w:t xml:space="preserve">observed fluorescence arises from dye molecules associated primarily with blood plasma, not erythrocytes. Even in capillaries, where they deform in order to pass through, erythrocytes cannot be seen in conventional angiogram images, </w:t>
      </w:r>
      <w:r w:rsidR="006946FB" w:rsidRPr="0034426D">
        <w:rPr>
          <w:sz w:val="24"/>
          <w:szCs w:val="24"/>
          <w:lang w:val="en-US"/>
        </w:rPr>
        <w:t>hence</w:t>
      </w:r>
      <w:r w:rsidRPr="0034426D">
        <w:rPr>
          <w:sz w:val="24"/>
          <w:szCs w:val="24"/>
          <w:lang w:val="en-US"/>
        </w:rPr>
        <w:t xml:space="preserve"> metabolically significant phenomena such as vasomotion, which results in periodic suspension of erythrocyte movement through individual capillaries, cannot be directly visualized. Moreover, in conventional angiography, dye molecules leave the plasma and become associated with vessel walls, </w:t>
      </w:r>
      <w:r w:rsidR="006946FB" w:rsidRPr="0034426D">
        <w:rPr>
          <w:sz w:val="24"/>
          <w:szCs w:val="24"/>
          <w:lang w:val="en-US"/>
        </w:rPr>
        <w:t>consequently</w:t>
      </w:r>
      <w:r w:rsidRPr="0034426D">
        <w:rPr>
          <w:sz w:val="24"/>
          <w:szCs w:val="24"/>
          <w:lang w:val="en-US"/>
        </w:rPr>
        <w:t xml:space="preserve"> those blood vessels rapidly exhibit steady-state fluorescence, thereby obscuring further visualization of blood movement. To address these intrinsic drawbacks of ICG for </w:t>
      </w:r>
      <w:r w:rsidRPr="0034426D">
        <w:rPr>
          <w:i/>
          <w:sz w:val="24"/>
          <w:szCs w:val="24"/>
          <w:lang w:val="en-US"/>
        </w:rPr>
        <w:t>in vivo</w:t>
      </w:r>
      <w:r w:rsidRPr="0034426D">
        <w:rPr>
          <w:sz w:val="24"/>
          <w:szCs w:val="24"/>
          <w:lang w:val="en-US"/>
        </w:rPr>
        <w:t xml:space="preserve"> imaging, a potential approach is to encapsulate ICG into </w:t>
      </w:r>
      <w:r w:rsidR="00BE1C04" w:rsidRPr="0034426D">
        <w:rPr>
          <w:sz w:val="24"/>
          <w:szCs w:val="24"/>
          <w:lang w:val="en-US"/>
        </w:rPr>
        <w:t>RBC</w:t>
      </w:r>
      <w:r w:rsidRPr="0034426D">
        <w:rPr>
          <w:sz w:val="24"/>
          <w:szCs w:val="24"/>
          <w:lang w:val="en-US"/>
        </w:rPr>
        <w:t>s that provide increased stability, protection from nonspecific plasma protein binding and prolonge</w:t>
      </w:r>
      <w:r w:rsidR="00DA33DE" w:rsidRPr="0034426D">
        <w:rPr>
          <w:sz w:val="24"/>
          <w:szCs w:val="24"/>
          <w:lang w:val="en-US"/>
        </w:rPr>
        <w:t>d circulation time [</w:t>
      </w:r>
      <w:r w:rsidR="004B5FC9" w:rsidRPr="0034426D">
        <w:rPr>
          <w:sz w:val="24"/>
          <w:szCs w:val="24"/>
          <w:lang w:val="en-US"/>
        </w:rPr>
        <w:t>15</w:t>
      </w:r>
      <w:r w:rsidR="004B5FC9">
        <w:rPr>
          <w:sz w:val="24"/>
          <w:szCs w:val="24"/>
          <w:lang w:val="en-US"/>
        </w:rPr>
        <w:t>5</w:t>
      </w:r>
      <w:r w:rsidR="00DA33DE" w:rsidRPr="0034426D">
        <w:rPr>
          <w:sz w:val="24"/>
          <w:szCs w:val="24"/>
          <w:lang w:val="en-US"/>
        </w:rPr>
        <w:t>]</w:t>
      </w:r>
      <w:r w:rsidRPr="0034426D">
        <w:rPr>
          <w:sz w:val="24"/>
          <w:szCs w:val="24"/>
          <w:lang w:val="en-US"/>
        </w:rPr>
        <w:t xml:space="preserve">. </w:t>
      </w:r>
      <w:r w:rsidRPr="0034426D">
        <w:rPr>
          <w:iCs/>
          <w:sz w:val="24"/>
          <w:szCs w:val="24"/>
          <w:lang w:val="en-US"/>
        </w:rPr>
        <w:t xml:space="preserve">By administering the contrast agent by means </w:t>
      </w:r>
      <w:r w:rsidR="00EE07F7" w:rsidRPr="0034426D">
        <w:rPr>
          <w:iCs/>
          <w:sz w:val="24"/>
          <w:szCs w:val="24"/>
          <w:lang w:val="en-US"/>
        </w:rPr>
        <w:t xml:space="preserve">of </w:t>
      </w:r>
      <w:r w:rsidR="00BE1C04" w:rsidRPr="0034426D">
        <w:rPr>
          <w:iCs/>
          <w:sz w:val="24"/>
          <w:szCs w:val="24"/>
          <w:lang w:val="en-US"/>
        </w:rPr>
        <w:t>RBCs</w:t>
      </w:r>
      <w:r w:rsidRPr="0034426D">
        <w:rPr>
          <w:iCs/>
          <w:sz w:val="24"/>
          <w:szCs w:val="24"/>
          <w:lang w:val="en-US"/>
        </w:rPr>
        <w:t xml:space="preserve">, an important increase in its </w:t>
      </w:r>
      <w:r w:rsidRPr="0034426D">
        <w:rPr>
          <w:i/>
          <w:iCs/>
          <w:sz w:val="24"/>
          <w:szCs w:val="24"/>
          <w:lang w:val="en-US"/>
        </w:rPr>
        <w:t>in vivo</w:t>
      </w:r>
      <w:r w:rsidRPr="0034426D">
        <w:rPr>
          <w:iCs/>
          <w:sz w:val="24"/>
          <w:szCs w:val="24"/>
          <w:lang w:val="en-US"/>
        </w:rPr>
        <w:t xml:space="preserve"> lifespan could be obtained, thus allowing ICG permanence in the blood vessels for a sufficient period of time to permit an adequate vascular imaging. In addition, </w:t>
      </w:r>
      <w:r w:rsidR="006946FB" w:rsidRPr="0034426D">
        <w:rPr>
          <w:iCs/>
          <w:sz w:val="24"/>
          <w:szCs w:val="24"/>
          <w:lang w:val="en-US"/>
        </w:rPr>
        <w:t xml:space="preserve">ICG </w:t>
      </w:r>
      <w:r w:rsidRPr="0034426D">
        <w:rPr>
          <w:sz w:val="24"/>
          <w:szCs w:val="24"/>
          <w:lang w:val="en-US"/>
        </w:rPr>
        <w:t>encapsulati</w:t>
      </w:r>
      <w:r w:rsidR="006946FB" w:rsidRPr="0034426D">
        <w:rPr>
          <w:sz w:val="24"/>
          <w:szCs w:val="24"/>
          <w:lang w:val="en-US"/>
        </w:rPr>
        <w:t>o</w:t>
      </w:r>
      <w:r w:rsidRPr="0034426D">
        <w:rPr>
          <w:sz w:val="24"/>
          <w:szCs w:val="24"/>
          <w:lang w:val="en-US"/>
        </w:rPr>
        <w:t>n within RBCs</w:t>
      </w:r>
      <w:r w:rsidR="006946FB" w:rsidRPr="0034426D">
        <w:rPr>
          <w:sz w:val="24"/>
          <w:szCs w:val="24"/>
          <w:lang w:val="en-US"/>
        </w:rPr>
        <w:t xml:space="preserve"> enables</w:t>
      </w:r>
      <w:r w:rsidRPr="0034426D">
        <w:rPr>
          <w:sz w:val="24"/>
          <w:szCs w:val="24"/>
          <w:lang w:val="en-US"/>
        </w:rPr>
        <w:t xml:space="preserve"> ICG concentration </w:t>
      </w:r>
      <w:r w:rsidR="006946FB" w:rsidRPr="0034426D">
        <w:rPr>
          <w:sz w:val="24"/>
          <w:szCs w:val="24"/>
          <w:lang w:val="en-US"/>
        </w:rPr>
        <w:t>to</w:t>
      </w:r>
      <w:r w:rsidRPr="0034426D">
        <w:rPr>
          <w:sz w:val="24"/>
          <w:szCs w:val="24"/>
          <w:lang w:val="en-US"/>
        </w:rPr>
        <w:t xml:space="preserve"> be better evaluate</w:t>
      </w:r>
      <w:r w:rsidR="006946FB" w:rsidRPr="0034426D">
        <w:rPr>
          <w:sz w:val="24"/>
          <w:szCs w:val="24"/>
          <w:lang w:val="en-US"/>
        </w:rPr>
        <w:t>d</w:t>
      </w:r>
      <w:r w:rsidRPr="0034426D">
        <w:rPr>
          <w:sz w:val="24"/>
          <w:szCs w:val="24"/>
          <w:lang w:val="en-US"/>
        </w:rPr>
        <w:t xml:space="preserve"> so as to produce peak fluorescence, while avoiding plasma staining, thereby maintaining the high contrast needed for imaging individual cells in capillaries.</w:t>
      </w:r>
      <w:r w:rsidR="007E72DD" w:rsidRPr="0034426D">
        <w:rPr>
          <w:sz w:val="24"/>
          <w:szCs w:val="24"/>
          <w:lang w:val="en-GB"/>
        </w:rPr>
        <w:t xml:space="preserve"> </w:t>
      </w:r>
      <w:r w:rsidRPr="0034426D">
        <w:rPr>
          <w:iCs/>
          <w:sz w:val="24"/>
          <w:szCs w:val="24"/>
          <w:lang w:val="en-US"/>
        </w:rPr>
        <w:t>Moreover, I</w:t>
      </w:r>
      <w:r w:rsidRPr="0034426D">
        <w:rPr>
          <w:sz w:val="24"/>
          <w:szCs w:val="24"/>
          <w:lang w:val="en-US"/>
        </w:rPr>
        <w:t xml:space="preserve">CG-loaded RBCs are ideal </w:t>
      </w:r>
      <w:r w:rsidR="006946FB" w:rsidRPr="0034426D">
        <w:rPr>
          <w:sz w:val="24"/>
          <w:szCs w:val="24"/>
          <w:lang w:val="en-US"/>
        </w:rPr>
        <w:t>to</w:t>
      </w:r>
      <w:r w:rsidRPr="0034426D">
        <w:rPr>
          <w:sz w:val="24"/>
          <w:szCs w:val="24"/>
          <w:lang w:val="en-US"/>
        </w:rPr>
        <w:t xml:space="preserve"> study dynamics of the particulate component of </w:t>
      </w:r>
      <w:r w:rsidR="006946FB" w:rsidRPr="0034426D">
        <w:rPr>
          <w:sz w:val="24"/>
          <w:szCs w:val="24"/>
          <w:lang w:val="en-US"/>
        </w:rPr>
        <w:t>the</w:t>
      </w:r>
      <w:r w:rsidRPr="0034426D">
        <w:rPr>
          <w:sz w:val="24"/>
          <w:szCs w:val="24"/>
          <w:lang w:val="en-US"/>
        </w:rPr>
        <w:t xml:space="preserve"> blood in the ocular circulations under normal physiological conditions. </w:t>
      </w:r>
      <w:r w:rsidRPr="0034426D">
        <w:rPr>
          <w:rFonts w:cs="Times New Roman"/>
          <w:sz w:val="24"/>
          <w:szCs w:val="24"/>
          <w:lang w:val="en-US"/>
        </w:rPr>
        <w:t>Dye movement through the individual choriocapillar</w:t>
      </w:r>
      <w:r w:rsidR="006946FB" w:rsidRPr="0034426D">
        <w:rPr>
          <w:rFonts w:cs="Times New Roman"/>
          <w:sz w:val="24"/>
          <w:szCs w:val="24"/>
          <w:lang w:val="en-US"/>
        </w:rPr>
        <w:t>y</w:t>
      </w:r>
      <w:r w:rsidRPr="0034426D">
        <w:rPr>
          <w:rFonts w:cs="Times New Roman"/>
          <w:sz w:val="24"/>
          <w:szCs w:val="24"/>
          <w:lang w:val="en-US"/>
        </w:rPr>
        <w:t xml:space="preserve"> segments has never been observed, because they are beyond the spatial resolution of fundus cameras</w:t>
      </w:r>
      <w:r w:rsidR="0085796F" w:rsidRPr="0034426D">
        <w:rPr>
          <w:rFonts w:cs="Times New Roman"/>
          <w:sz w:val="24"/>
          <w:szCs w:val="24"/>
          <w:lang w:val="en-US"/>
        </w:rPr>
        <w:t>;</w:t>
      </w:r>
      <w:r w:rsidRPr="0034426D">
        <w:rPr>
          <w:rFonts w:cs="Times New Roman"/>
          <w:sz w:val="24"/>
          <w:szCs w:val="24"/>
          <w:lang w:val="en-US"/>
        </w:rPr>
        <w:t xml:space="preserve"> </w:t>
      </w:r>
      <w:r w:rsidR="0085796F" w:rsidRPr="0034426D">
        <w:rPr>
          <w:rFonts w:cs="Times New Roman"/>
          <w:sz w:val="24"/>
          <w:szCs w:val="24"/>
          <w:lang w:val="en-US"/>
        </w:rPr>
        <w:t>therefore,</w:t>
      </w:r>
      <w:r w:rsidRPr="0034426D">
        <w:rPr>
          <w:rFonts w:cs="Times New Roman"/>
          <w:sz w:val="24"/>
          <w:szCs w:val="24"/>
          <w:lang w:val="en-US"/>
        </w:rPr>
        <w:t xml:space="preserve"> it is unknown whether blood moves through every capi</w:t>
      </w:r>
      <w:r w:rsidR="0085796F" w:rsidRPr="0034426D">
        <w:rPr>
          <w:rFonts w:cs="Times New Roman"/>
          <w:sz w:val="24"/>
          <w:szCs w:val="24"/>
          <w:lang w:val="en-US"/>
        </w:rPr>
        <w:t>llary segment</w:t>
      </w:r>
      <w:r w:rsidRPr="0034426D">
        <w:rPr>
          <w:rFonts w:cs="Times New Roman"/>
          <w:sz w:val="24"/>
          <w:szCs w:val="24"/>
          <w:lang w:val="en-US"/>
        </w:rPr>
        <w:t xml:space="preserve"> </w:t>
      </w:r>
      <w:r w:rsidR="00512FFF" w:rsidRPr="0034426D">
        <w:rPr>
          <w:rFonts w:cs="Times New Roman"/>
          <w:sz w:val="24"/>
          <w:szCs w:val="24"/>
          <w:lang w:val="en-US"/>
        </w:rPr>
        <w:t>in</w:t>
      </w:r>
      <w:r w:rsidRPr="0034426D">
        <w:rPr>
          <w:rFonts w:cs="Times New Roman"/>
          <w:sz w:val="24"/>
          <w:szCs w:val="24"/>
          <w:lang w:val="en-US"/>
        </w:rPr>
        <w:t xml:space="preserve"> a given lobular area during </w:t>
      </w:r>
      <w:r w:rsidR="0085796F" w:rsidRPr="0034426D">
        <w:rPr>
          <w:rFonts w:cs="Times New Roman"/>
          <w:sz w:val="24"/>
          <w:szCs w:val="24"/>
          <w:lang w:val="en-US"/>
        </w:rPr>
        <w:t xml:space="preserve">blood </w:t>
      </w:r>
      <w:r w:rsidRPr="0034426D">
        <w:rPr>
          <w:rFonts w:cs="Times New Roman"/>
          <w:sz w:val="24"/>
          <w:szCs w:val="24"/>
          <w:lang w:val="en-US"/>
        </w:rPr>
        <w:t xml:space="preserve">ejection from </w:t>
      </w:r>
      <w:r w:rsidR="00512FFF" w:rsidRPr="0034426D">
        <w:rPr>
          <w:rFonts w:cs="Times New Roman"/>
          <w:sz w:val="24"/>
          <w:szCs w:val="24"/>
          <w:lang w:val="en-US"/>
        </w:rPr>
        <w:t>its</w:t>
      </w:r>
      <w:r w:rsidRPr="0034426D">
        <w:rPr>
          <w:rFonts w:cs="Times New Roman"/>
          <w:sz w:val="24"/>
          <w:szCs w:val="24"/>
          <w:lang w:val="en-US"/>
        </w:rPr>
        <w:t xml:space="preserve"> feeding a</w:t>
      </w:r>
      <w:r w:rsidR="00FE4C66" w:rsidRPr="0034426D">
        <w:rPr>
          <w:rFonts w:cs="Times New Roman"/>
          <w:sz w:val="24"/>
          <w:szCs w:val="24"/>
          <w:lang w:val="en-US"/>
        </w:rPr>
        <w:t xml:space="preserve">rteriole </w:t>
      </w:r>
      <w:r w:rsidR="0085796F" w:rsidRPr="0034426D">
        <w:rPr>
          <w:rFonts w:cs="Times New Roman"/>
          <w:sz w:val="24"/>
          <w:szCs w:val="24"/>
          <w:lang w:val="en-US"/>
        </w:rPr>
        <w:t>upon</w:t>
      </w:r>
      <w:r w:rsidR="00FE4C66" w:rsidRPr="0034426D">
        <w:rPr>
          <w:rFonts w:cs="Times New Roman"/>
          <w:sz w:val="24"/>
          <w:szCs w:val="24"/>
          <w:lang w:val="en-US"/>
        </w:rPr>
        <w:t xml:space="preserve"> each heartbeat.</w:t>
      </w:r>
      <w:r w:rsidR="00CB7D9A" w:rsidRPr="0034426D">
        <w:rPr>
          <w:rFonts w:cs="Times New Roman"/>
          <w:sz w:val="24"/>
          <w:szCs w:val="24"/>
          <w:lang w:val="en-US"/>
        </w:rPr>
        <w:t xml:space="preserve"> </w:t>
      </w:r>
      <w:r w:rsidRPr="0034426D">
        <w:rPr>
          <w:rFonts w:cs="Times New Roman"/>
          <w:sz w:val="24"/>
          <w:szCs w:val="24"/>
          <w:lang w:val="en-US"/>
        </w:rPr>
        <w:t xml:space="preserve">In contrast with fluorescent ICG-loaded RBCs, when viewing the angiogram sequences at video speed (25 images/sec) or when playing subsets of image sequences in </w:t>
      </w:r>
      <w:r w:rsidR="006946FB" w:rsidRPr="0034426D">
        <w:rPr>
          <w:rFonts w:cs="Times New Roman"/>
          <w:sz w:val="24"/>
          <w:szCs w:val="24"/>
          <w:lang w:val="en-US"/>
        </w:rPr>
        <w:t xml:space="preserve">a </w:t>
      </w:r>
      <w:r w:rsidRPr="0034426D">
        <w:rPr>
          <w:rFonts w:cs="Times New Roman"/>
          <w:sz w:val="24"/>
          <w:szCs w:val="24"/>
          <w:lang w:val="en-US"/>
        </w:rPr>
        <w:t xml:space="preserve">loop-like fashion, </w:t>
      </w:r>
      <w:r w:rsidR="006946FB" w:rsidRPr="0034426D">
        <w:rPr>
          <w:rFonts w:cs="Times New Roman"/>
          <w:sz w:val="24"/>
          <w:szCs w:val="24"/>
          <w:lang w:val="en-US"/>
        </w:rPr>
        <w:t>it</w:t>
      </w:r>
      <w:r w:rsidRPr="0034426D">
        <w:rPr>
          <w:rFonts w:cs="Times New Roman"/>
          <w:sz w:val="24"/>
          <w:szCs w:val="24"/>
          <w:lang w:val="en-US"/>
        </w:rPr>
        <w:t xml:space="preserve"> is relatively easy to track individual cells. In this way, in capillaries, it is also possible to visualize RBCs beside the plasma, because the engineered cells themselves emit fluorescence and the separation between adjacent RBCs exceeds the diffraction</w:t>
      </w:r>
      <w:r w:rsidR="006946FB" w:rsidRPr="0034426D">
        <w:rPr>
          <w:rFonts w:cs="Times New Roman"/>
          <w:sz w:val="24"/>
          <w:szCs w:val="24"/>
          <w:lang w:val="en-US"/>
        </w:rPr>
        <w:t>-</w:t>
      </w:r>
      <w:r w:rsidRPr="0034426D">
        <w:rPr>
          <w:rFonts w:cs="Times New Roman"/>
          <w:sz w:val="24"/>
          <w:szCs w:val="24"/>
          <w:lang w:val="en-US"/>
        </w:rPr>
        <w:t>limited resolution of the optics of the eye (7 µm for the perifoveal capillaries and 11 µm for the choriocapillari</w:t>
      </w:r>
      <w:r w:rsidR="006946FB" w:rsidRPr="0034426D">
        <w:rPr>
          <w:rFonts w:cs="Times New Roman"/>
          <w:sz w:val="24"/>
          <w:szCs w:val="24"/>
          <w:lang w:val="en-US"/>
        </w:rPr>
        <w:t>e</w:t>
      </w:r>
      <w:r w:rsidRPr="0034426D">
        <w:rPr>
          <w:rFonts w:cs="Times New Roman"/>
          <w:sz w:val="24"/>
          <w:szCs w:val="24"/>
          <w:lang w:val="en-US"/>
        </w:rPr>
        <w:t>s).</w:t>
      </w:r>
      <w:r w:rsidR="00D76D6C" w:rsidRPr="0034426D">
        <w:rPr>
          <w:rFonts w:cs="Times New Roman"/>
          <w:sz w:val="24"/>
          <w:szCs w:val="24"/>
          <w:lang w:val="en-US"/>
        </w:rPr>
        <w:t xml:space="preserve"> </w:t>
      </w:r>
      <w:r w:rsidRPr="0034426D">
        <w:rPr>
          <w:rFonts w:cs="Times New Roman"/>
          <w:sz w:val="24"/>
          <w:szCs w:val="24"/>
          <w:lang w:val="en-US"/>
        </w:rPr>
        <w:t>In fact, these conditions have been actually met by entrapping ICG dye in RBCs and re</w:t>
      </w:r>
      <w:r w:rsidR="009F155A">
        <w:rPr>
          <w:rFonts w:cs="Times New Roman"/>
          <w:sz w:val="24"/>
          <w:szCs w:val="24"/>
          <w:lang w:val="en-US"/>
        </w:rPr>
        <w:t>-</w:t>
      </w:r>
      <w:r w:rsidRPr="0034426D">
        <w:rPr>
          <w:rFonts w:cs="Times New Roman"/>
          <w:sz w:val="24"/>
          <w:szCs w:val="24"/>
          <w:lang w:val="en-US"/>
        </w:rPr>
        <w:t xml:space="preserve">injecting a small bolus of them; during transit to the ocular vasculatures, they are diluted in circulating blood to the extent that individual ICG-loaded RBCs were separated by more than 11 µm, making their visualization </w:t>
      </w:r>
      <w:r w:rsidR="006946FB" w:rsidRPr="0034426D">
        <w:rPr>
          <w:rFonts w:cs="Times New Roman"/>
          <w:sz w:val="24"/>
          <w:szCs w:val="24"/>
          <w:lang w:val="en-US"/>
        </w:rPr>
        <w:t xml:space="preserve">possible </w:t>
      </w:r>
      <w:r w:rsidRPr="0034426D">
        <w:rPr>
          <w:rFonts w:cs="Times New Roman"/>
          <w:sz w:val="24"/>
          <w:szCs w:val="24"/>
          <w:lang w:val="en-US"/>
        </w:rPr>
        <w:t>(</w:t>
      </w:r>
      <w:r w:rsidRPr="0034426D">
        <w:rPr>
          <w:rFonts w:cs="Times New Roman"/>
          <w:b/>
          <w:sz w:val="24"/>
          <w:szCs w:val="24"/>
          <w:lang w:val="en-US"/>
        </w:rPr>
        <w:t xml:space="preserve">Figure </w:t>
      </w:r>
      <w:r w:rsidR="00A461B8" w:rsidRPr="0034426D">
        <w:rPr>
          <w:rFonts w:cs="Times New Roman"/>
          <w:b/>
          <w:sz w:val="24"/>
          <w:szCs w:val="24"/>
          <w:lang w:val="en-US"/>
        </w:rPr>
        <w:t>4</w:t>
      </w:r>
      <w:r w:rsidRPr="0034426D">
        <w:rPr>
          <w:rFonts w:cs="Times New Roman"/>
          <w:sz w:val="24"/>
          <w:szCs w:val="24"/>
          <w:lang w:val="en-US"/>
        </w:rPr>
        <w:t xml:space="preserve"> </w:t>
      </w:r>
      <w:r w:rsidRPr="0034426D">
        <w:rPr>
          <w:rFonts w:cs="Times New Roman"/>
          <w:b/>
          <w:sz w:val="24"/>
          <w:szCs w:val="24"/>
          <w:lang w:val="en-US"/>
        </w:rPr>
        <w:t xml:space="preserve">A </w:t>
      </w:r>
      <w:r w:rsidRPr="0034426D">
        <w:rPr>
          <w:rFonts w:cs="Times New Roman"/>
          <w:sz w:val="24"/>
          <w:szCs w:val="24"/>
          <w:lang w:val="en-US"/>
        </w:rPr>
        <w:t xml:space="preserve">and </w:t>
      </w:r>
      <w:r w:rsidRPr="0034426D">
        <w:rPr>
          <w:rFonts w:cs="Times New Roman"/>
          <w:b/>
          <w:sz w:val="24"/>
          <w:szCs w:val="24"/>
          <w:lang w:val="en-US"/>
        </w:rPr>
        <w:t>B</w:t>
      </w:r>
      <w:r w:rsidRPr="0034426D">
        <w:rPr>
          <w:rFonts w:cs="Times New Roman"/>
          <w:sz w:val="24"/>
          <w:szCs w:val="24"/>
          <w:lang w:val="en-US"/>
        </w:rPr>
        <w:t>)</w:t>
      </w:r>
      <w:r w:rsidR="00CE28CA" w:rsidRPr="0034426D">
        <w:rPr>
          <w:rFonts w:cs="Times New Roman"/>
          <w:sz w:val="24"/>
          <w:szCs w:val="24"/>
          <w:lang w:val="en-US"/>
        </w:rPr>
        <w:t>.</w:t>
      </w:r>
    </w:p>
    <w:p w14:paraId="2C32B3C4" w14:textId="77777777" w:rsidR="00954F83" w:rsidRPr="0034426D" w:rsidRDefault="00954F83" w:rsidP="00341D07">
      <w:pPr>
        <w:spacing w:line="360" w:lineRule="auto"/>
        <w:contextualSpacing/>
        <w:jc w:val="both"/>
        <w:rPr>
          <w:sz w:val="24"/>
          <w:szCs w:val="24"/>
          <w:lang w:val="en-US"/>
        </w:rPr>
      </w:pPr>
      <w:r w:rsidRPr="0034426D">
        <w:rPr>
          <w:rFonts w:cs="Times New Roman"/>
          <w:sz w:val="24"/>
          <w:szCs w:val="24"/>
          <w:lang w:val="en-US"/>
        </w:rPr>
        <w:t>In addition, injections of ICG-loaded RBCs could be of particular relevance in the diagnosis of some retinal patholog</w:t>
      </w:r>
      <w:r w:rsidR="006946FB" w:rsidRPr="0034426D">
        <w:rPr>
          <w:rFonts w:cs="Times New Roman"/>
          <w:sz w:val="24"/>
          <w:szCs w:val="24"/>
          <w:lang w:val="en-US"/>
        </w:rPr>
        <w:t>ies</w:t>
      </w:r>
      <w:r w:rsidRPr="0034426D">
        <w:rPr>
          <w:rFonts w:cs="Times New Roman"/>
          <w:sz w:val="24"/>
          <w:szCs w:val="24"/>
          <w:lang w:val="en-US"/>
        </w:rPr>
        <w:t xml:space="preserve"> such as diabetic maculopathy, thanks to the possibility to evaluate vasomotion </w:t>
      </w:r>
      <w:r w:rsidRPr="0034426D">
        <w:rPr>
          <w:rFonts w:cs="Times New Roman"/>
          <w:sz w:val="24"/>
          <w:szCs w:val="24"/>
          <w:lang w:val="en-US"/>
        </w:rPr>
        <w:lastRenderedPageBreak/>
        <w:t xml:space="preserve">phenomenon in retinal capillaries. </w:t>
      </w:r>
      <w:r w:rsidRPr="0034426D">
        <w:rPr>
          <w:sz w:val="24"/>
          <w:szCs w:val="24"/>
          <w:lang w:val="en-US"/>
        </w:rPr>
        <w:t>Vasomotion, propagating waves of alternating precapillary arteriolar contraction and dilation that result in periodic suspension of RBC movement through adjacent capillaries, has been observed in every other end-arteriolar vasculature studied so far. This phenomenon has been inferred to exist in the retinal capillaries, based on oscillations in retinal oxygen tensions (3–10 cycles/min) that correspond to brain microvascular vasomotion, but vasomotion</w:t>
      </w:r>
      <w:r w:rsidR="009F155A">
        <w:rPr>
          <w:sz w:val="24"/>
          <w:szCs w:val="24"/>
          <w:lang w:val="en-US"/>
        </w:rPr>
        <w:t>-</w:t>
      </w:r>
      <w:r w:rsidRPr="0034426D">
        <w:rPr>
          <w:sz w:val="24"/>
          <w:szCs w:val="24"/>
          <w:lang w:val="en-US"/>
        </w:rPr>
        <w:t xml:space="preserve">related RBC dynamics has never been directly observed in the primate eye. </w:t>
      </w:r>
      <w:r w:rsidR="006946FB" w:rsidRPr="0034426D">
        <w:rPr>
          <w:sz w:val="24"/>
          <w:szCs w:val="24"/>
          <w:lang w:val="en-US"/>
        </w:rPr>
        <w:t>V</w:t>
      </w:r>
      <w:r w:rsidRPr="0034426D">
        <w:rPr>
          <w:sz w:val="24"/>
          <w:szCs w:val="24"/>
          <w:lang w:val="en-US"/>
        </w:rPr>
        <w:t xml:space="preserve">asomotion is an important mechanism for homogenous oxygen distribution in retinal tissue and that disturbances in </w:t>
      </w:r>
      <w:r w:rsidR="006946FB" w:rsidRPr="0034426D">
        <w:rPr>
          <w:sz w:val="24"/>
          <w:szCs w:val="24"/>
          <w:lang w:val="en-US"/>
        </w:rPr>
        <w:t>it</w:t>
      </w:r>
      <w:r w:rsidRPr="0034426D">
        <w:rPr>
          <w:sz w:val="24"/>
          <w:szCs w:val="24"/>
          <w:lang w:val="en-US"/>
        </w:rPr>
        <w:t xml:space="preserve"> may underlie some retinal ischemic condition</w:t>
      </w:r>
      <w:r w:rsidR="006946FB" w:rsidRPr="0034426D">
        <w:rPr>
          <w:sz w:val="24"/>
          <w:szCs w:val="24"/>
          <w:lang w:val="en-US"/>
        </w:rPr>
        <w:t>s,</w:t>
      </w:r>
      <w:r w:rsidRPr="0034426D">
        <w:rPr>
          <w:sz w:val="24"/>
          <w:szCs w:val="24"/>
          <w:lang w:val="en-US"/>
        </w:rPr>
        <w:t xml:space="preserve"> such as diabetic maculopathy. That being the case, eventually high-speed angiography using</w:t>
      </w:r>
      <w:r w:rsidR="002308A4" w:rsidRPr="0034426D">
        <w:rPr>
          <w:sz w:val="24"/>
          <w:szCs w:val="24"/>
          <w:lang w:val="en-US"/>
        </w:rPr>
        <w:t xml:space="preserve"> reinjection of </w:t>
      </w:r>
      <w:r w:rsidR="006946FB" w:rsidRPr="0034426D">
        <w:rPr>
          <w:sz w:val="24"/>
          <w:szCs w:val="24"/>
          <w:lang w:val="en-US"/>
        </w:rPr>
        <w:t xml:space="preserve">autologous </w:t>
      </w:r>
      <w:r w:rsidR="002308A4" w:rsidRPr="0034426D">
        <w:rPr>
          <w:sz w:val="24"/>
          <w:szCs w:val="24"/>
          <w:lang w:val="en-US"/>
        </w:rPr>
        <w:t>ICG-</w:t>
      </w:r>
      <w:r w:rsidRPr="0034426D">
        <w:rPr>
          <w:sz w:val="24"/>
          <w:szCs w:val="24"/>
          <w:lang w:val="en-US"/>
        </w:rPr>
        <w:t>loaded RBC</w:t>
      </w:r>
      <w:r w:rsidR="006946FB" w:rsidRPr="0034426D">
        <w:rPr>
          <w:sz w:val="24"/>
          <w:szCs w:val="24"/>
          <w:lang w:val="en-US"/>
        </w:rPr>
        <w:t>s</w:t>
      </w:r>
      <w:r w:rsidRPr="0034426D">
        <w:rPr>
          <w:sz w:val="24"/>
          <w:szCs w:val="24"/>
          <w:lang w:val="en-US"/>
        </w:rPr>
        <w:t xml:space="preserve"> would be a sensitive diagnostic tool for early detection of ischemic retinopathies and for monitoring progression and response to treatment. The feasibility of using </w:t>
      </w:r>
      <w:r w:rsidR="002308A4" w:rsidRPr="0034426D">
        <w:rPr>
          <w:sz w:val="24"/>
          <w:szCs w:val="24"/>
          <w:lang w:val="en-US"/>
        </w:rPr>
        <w:t>ICG-</w:t>
      </w:r>
      <w:r w:rsidRPr="0034426D">
        <w:rPr>
          <w:sz w:val="24"/>
          <w:szCs w:val="24"/>
          <w:lang w:val="en-US"/>
        </w:rPr>
        <w:t>loaded RBCs for diagnostic purposes has been successfully obtained in human in a small Europe</w:t>
      </w:r>
      <w:r w:rsidR="006946FB" w:rsidRPr="0034426D">
        <w:rPr>
          <w:sz w:val="24"/>
          <w:szCs w:val="24"/>
          <w:lang w:val="en-US"/>
        </w:rPr>
        <w:t>an</w:t>
      </w:r>
      <w:r w:rsidRPr="0034426D">
        <w:rPr>
          <w:sz w:val="24"/>
          <w:szCs w:val="24"/>
          <w:lang w:val="en-US"/>
        </w:rPr>
        <w:t xml:space="preserve"> pilot trial </w:t>
      </w:r>
      <w:r w:rsidR="0049292C" w:rsidRPr="0034426D">
        <w:rPr>
          <w:sz w:val="24"/>
          <w:szCs w:val="24"/>
          <w:lang w:val="en-US"/>
        </w:rPr>
        <w:t>[</w:t>
      </w:r>
      <w:r w:rsidR="00411159" w:rsidRPr="0034426D">
        <w:rPr>
          <w:sz w:val="24"/>
          <w:szCs w:val="24"/>
          <w:lang w:val="en-US"/>
        </w:rPr>
        <w:t>15</w:t>
      </w:r>
      <w:r w:rsidR="00411159">
        <w:rPr>
          <w:sz w:val="24"/>
          <w:szCs w:val="24"/>
          <w:lang w:val="en-US"/>
        </w:rPr>
        <w:t>6</w:t>
      </w:r>
      <w:r w:rsidR="0049292C" w:rsidRPr="0034426D">
        <w:rPr>
          <w:sz w:val="24"/>
          <w:szCs w:val="24"/>
          <w:lang w:val="en-US"/>
        </w:rPr>
        <w:t>]</w:t>
      </w:r>
      <w:r w:rsidRPr="0034426D">
        <w:rPr>
          <w:sz w:val="24"/>
          <w:szCs w:val="24"/>
          <w:lang w:val="en-US"/>
        </w:rPr>
        <w:t xml:space="preserve">, which also </w:t>
      </w:r>
      <w:r w:rsidR="0049292C" w:rsidRPr="0034426D">
        <w:rPr>
          <w:sz w:val="24"/>
          <w:szCs w:val="24"/>
          <w:lang w:val="en-US"/>
        </w:rPr>
        <w:t>demonstrated</w:t>
      </w:r>
      <w:r w:rsidRPr="0034426D">
        <w:rPr>
          <w:sz w:val="24"/>
          <w:szCs w:val="24"/>
          <w:lang w:val="en-US"/>
        </w:rPr>
        <w:t xml:space="preserve"> that the procedure is safe and well tolerated, meanwhile very easy to perform</w:t>
      </w:r>
      <w:r w:rsidR="006946FB" w:rsidRPr="0034426D">
        <w:rPr>
          <w:sz w:val="24"/>
          <w:szCs w:val="24"/>
          <w:lang w:val="en-US"/>
        </w:rPr>
        <w:t>,</w:t>
      </w:r>
      <w:r w:rsidRPr="0034426D">
        <w:rPr>
          <w:sz w:val="24"/>
          <w:szCs w:val="24"/>
          <w:lang w:val="en-US"/>
        </w:rPr>
        <w:t xml:space="preserve"> thanks to the</w:t>
      </w:r>
      <w:r w:rsidRPr="0034426D">
        <w:rPr>
          <w:rFonts w:cs="Times New Roman"/>
          <w:sz w:val="24"/>
          <w:szCs w:val="24"/>
          <w:lang w:val="en-US"/>
        </w:rPr>
        <w:t xml:space="preserve"> already mentioned “Red Cell Loader” equipment</w:t>
      </w:r>
      <w:r w:rsidRPr="0034426D">
        <w:rPr>
          <w:sz w:val="24"/>
          <w:szCs w:val="24"/>
          <w:lang w:val="en-US"/>
        </w:rPr>
        <w:t>. In the discussion of the study, scientists did</w:t>
      </w:r>
      <w:r w:rsidR="003810E1">
        <w:rPr>
          <w:sz w:val="24"/>
          <w:szCs w:val="24"/>
          <w:lang w:val="en-US"/>
        </w:rPr>
        <w:t xml:space="preserve"> </w:t>
      </w:r>
      <w:r w:rsidRPr="0034426D">
        <w:rPr>
          <w:sz w:val="24"/>
          <w:szCs w:val="24"/>
          <w:lang w:val="en-US"/>
        </w:rPr>
        <w:t>n</w:t>
      </w:r>
      <w:r w:rsidR="003810E1">
        <w:rPr>
          <w:sz w:val="24"/>
          <w:szCs w:val="24"/>
          <w:lang w:val="en-US"/>
        </w:rPr>
        <w:t>o</w:t>
      </w:r>
      <w:r w:rsidRPr="0034426D">
        <w:rPr>
          <w:sz w:val="24"/>
          <w:szCs w:val="24"/>
          <w:lang w:val="en-US"/>
        </w:rPr>
        <w:t>t report any sever</w:t>
      </w:r>
      <w:r w:rsidR="006946FB" w:rsidRPr="0034426D">
        <w:rPr>
          <w:sz w:val="24"/>
          <w:szCs w:val="24"/>
          <w:lang w:val="en-US"/>
        </w:rPr>
        <w:t>e</w:t>
      </w:r>
      <w:r w:rsidRPr="0034426D">
        <w:rPr>
          <w:sz w:val="24"/>
          <w:szCs w:val="24"/>
          <w:lang w:val="en-US"/>
        </w:rPr>
        <w:t xml:space="preserve"> adverse events after the intravenous injection of autologous </w:t>
      </w:r>
      <w:r w:rsidR="00264525" w:rsidRPr="0034426D">
        <w:rPr>
          <w:sz w:val="24"/>
          <w:szCs w:val="24"/>
          <w:lang w:val="en-US"/>
        </w:rPr>
        <w:t>ICG-loaded</w:t>
      </w:r>
      <w:r w:rsidRPr="0034426D">
        <w:rPr>
          <w:sz w:val="24"/>
          <w:szCs w:val="24"/>
          <w:lang w:val="en-US"/>
        </w:rPr>
        <w:t xml:space="preserve"> RBCs in humans and no allergic reaction was reco</w:t>
      </w:r>
      <w:r w:rsidR="00DE775B" w:rsidRPr="0034426D">
        <w:rPr>
          <w:sz w:val="24"/>
          <w:szCs w:val="24"/>
          <w:lang w:val="en-US"/>
        </w:rPr>
        <w:t>rded even during the follow-up.</w:t>
      </w:r>
    </w:p>
    <w:p w14:paraId="302730D5" w14:textId="77777777" w:rsidR="00A313BB" w:rsidRPr="0034426D" w:rsidRDefault="00A313BB" w:rsidP="00D4213C">
      <w:pPr>
        <w:spacing w:after="0" w:line="360" w:lineRule="auto"/>
        <w:jc w:val="both"/>
        <w:rPr>
          <w:rFonts w:cs="Arial"/>
          <w:b/>
          <w:color w:val="000000"/>
          <w:sz w:val="24"/>
          <w:szCs w:val="24"/>
          <w:shd w:val="clear" w:color="auto" w:fill="FFFFFF"/>
          <w:lang w:val="en-US"/>
        </w:rPr>
      </w:pPr>
    </w:p>
    <w:p w14:paraId="6A8931EB" w14:textId="77777777" w:rsidR="00D4213C" w:rsidRPr="0034426D" w:rsidRDefault="00D4213C" w:rsidP="00D4213C">
      <w:pPr>
        <w:spacing w:after="0" w:line="360" w:lineRule="auto"/>
        <w:jc w:val="both"/>
        <w:rPr>
          <w:rFonts w:cs="Arial"/>
          <w:color w:val="000000"/>
          <w:sz w:val="24"/>
          <w:szCs w:val="24"/>
          <w:shd w:val="clear" w:color="auto" w:fill="FFFFFF"/>
          <w:lang w:val="en-US"/>
        </w:rPr>
      </w:pPr>
      <w:r w:rsidRPr="0034426D">
        <w:rPr>
          <w:rFonts w:cs="Arial"/>
          <w:b/>
          <w:color w:val="000000"/>
          <w:sz w:val="24"/>
          <w:szCs w:val="24"/>
          <w:shd w:val="clear" w:color="auto" w:fill="FFFFFF"/>
          <w:lang w:val="en-US"/>
        </w:rPr>
        <w:t>3.2 Superparamagnetic iron oxide (SPIO) nanoparticles as intravascular contrast agents: pharmacokinetic limitations and use of</w:t>
      </w:r>
      <w:r w:rsidR="00A313BB" w:rsidRPr="0034426D">
        <w:rPr>
          <w:rFonts w:cs="Arial"/>
          <w:b/>
          <w:color w:val="000000"/>
          <w:sz w:val="24"/>
          <w:szCs w:val="24"/>
          <w:shd w:val="clear" w:color="auto" w:fill="FFFFFF"/>
          <w:lang w:val="en-US"/>
        </w:rPr>
        <w:t xml:space="preserve"> engineered RBCs to bypass them</w:t>
      </w:r>
    </w:p>
    <w:p w14:paraId="2C4CFCB5" w14:textId="77777777" w:rsidR="00D4213C" w:rsidRPr="0034426D" w:rsidRDefault="00D4213C" w:rsidP="00D4213C">
      <w:pPr>
        <w:pStyle w:val="Nessunaspaziatura"/>
        <w:spacing w:line="360" w:lineRule="auto"/>
        <w:jc w:val="both"/>
        <w:rPr>
          <w:sz w:val="24"/>
          <w:szCs w:val="24"/>
          <w:lang w:val="en-US"/>
        </w:rPr>
      </w:pPr>
      <w:r w:rsidRPr="0034426D">
        <w:rPr>
          <w:sz w:val="24"/>
          <w:szCs w:val="24"/>
          <w:lang w:val="en-US"/>
        </w:rPr>
        <w:t>Although the advances in nanotechnology and molecular cell biology ha</w:t>
      </w:r>
      <w:r w:rsidR="00506579" w:rsidRPr="0034426D">
        <w:rPr>
          <w:sz w:val="24"/>
          <w:szCs w:val="24"/>
          <w:lang w:val="en-US"/>
        </w:rPr>
        <w:t>ve</w:t>
      </w:r>
      <w:r w:rsidRPr="0034426D">
        <w:rPr>
          <w:sz w:val="24"/>
          <w:szCs w:val="24"/>
          <w:lang w:val="en-US"/>
        </w:rPr>
        <w:t xml:space="preserve"> led to the improvement </w:t>
      </w:r>
      <w:r w:rsidR="00506579" w:rsidRPr="0034426D">
        <w:rPr>
          <w:sz w:val="24"/>
          <w:szCs w:val="24"/>
          <w:lang w:val="en-US"/>
        </w:rPr>
        <w:t>in</w:t>
      </w:r>
      <w:r w:rsidRPr="0034426D">
        <w:rPr>
          <w:sz w:val="24"/>
          <w:szCs w:val="24"/>
          <w:lang w:val="en-US"/>
        </w:rPr>
        <w:t xml:space="preserve"> stability and biocompatibility of nanoparticles, their half-life in blood circulation is </w:t>
      </w:r>
      <w:r w:rsidR="00506579" w:rsidRPr="0034426D">
        <w:rPr>
          <w:sz w:val="24"/>
          <w:szCs w:val="24"/>
          <w:lang w:val="en-US"/>
        </w:rPr>
        <w:t xml:space="preserve">still </w:t>
      </w:r>
      <w:r w:rsidRPr="0034426D">
        <w:rPr>
          <w:sz w:val="24"/>
          <w:szCs w:val="24"/>
          <w:lang w:val="en-US"/>
        </w:rPr>
        <w:t>very short</w:t>
      </w:r>
      <w:r w:rsidRPr="0034426D">
        <w:rPr>
          <w:color w:val="7030A0"/>
          <w:sz w:val="24"/>
          <w:szCs w:val="24"/>
          <w:lang w:val="en-US"/>
        </w:rPr>
        <w:t>.</w:t>
      </w:r>
      <w:r w:rsidR="00CC532E" w:rsidRPr="0034426D">
        <w:rPr>
          <w:color w:val="7030A0"/>
          <w:sz w:val="24"/>
          <w:szCs w:val="24"/>
          <w:lang w:val="en-US"/>
        </w:rPr>
        <w:t xml:space="preserve"> </w:t>
      </w:r>
      <w:r w:rsidRPr="0034426D">
        <w:rPr>
          <w:sz w:val="24"/>
          <w:szCs w:val="24"/>
          <w:lang w:val="en-US"/>
        </w:rPr>
        <w:t xml:space="preserve">The </w:t>
      </w:r>
      <w:r w:rsidR="00752962">
        <w:rPr>
          <w:sz w:val="24"/>
          <w:szCs w:val="24"/>
          <w:lang w:val="en-US"/>
        </w:rPr>
        <w:t>RES</w:t>
      </w:r>
      <w:r w:rsidRPr="0034426D">
        <w:rPr>
          <w:sz w:val="24"/>
          <w:szCs w:val="24"/>
          <w:lang w:val="en-US"/>
        </w:rPr>
        <w:t xml:space="preserve"> and renal clearance represent two major routes for the removal of nanoparticles from our body involving organs such as the liver, spleen and bone marrow that are rich in phagocytic cells able to engulf and digest nanoparticles. Studies have shown that the </w:t>
      </w:r>
      <w:r w:rsidR="00752962">
        <w:rPr>
          <w:sz w:val="24"/>
          <w:szCs w:val="24"/>
          <w:lang w:val="en-US"/>
        </w:rPr>
        <w:t>RE</w:t>
      </w:r>
      <w:r w:rsidR="00752962" w:rsidRPr="0034426D">
        <w:rPr>
          <w:sz w:val="24"/>
          <w:szCs w:val="24"/>
          <w:lang w:val="en-US"/>
        </w:rPr>
        <w:t xml:space="preserve">S </w:t>
      </w:r>
      <w:r w:rsidRPr="0034426D">
        <w:rPr>
          <w:sz w:val="24"/>
          <w:szCs w:val="24"/>
          <w:lang w:val="en-US"/>
        </w:rPr>
        <w:t xml:space="preserve">is responsible for the clearance of most nanoparticles larger than 10 nm, regardless of their shape and surface chemistry </w:t>
      </w:r>
      <w:r w:rsidR="00CC532E" w:rsidRPr="0034426D">
        <w:rPr>
          <w:sz w:val="24"/>
          <w:szCs w:val="24"/>
          <w:lang w:val="en-US"/>
        </w:rPr>
        <w:t>[</w:t>
      </w:r>
      <w:r w:rsidR="00411159" w:rsidRPr="0034426D">
        <w:rPr>
          <w:sz w:val="24"/>
          <w:szCs w:val="24"/>
          <w:lang w:val="en-US"/>
        </w:rPr>
        <w:t>15</w:t>
      </w:r>
      <w:r w:rsidR="00411159">
        <w:rPr>
          <w:sz w:val="24"/>
          <w:szCs w:val="24"/>
          <w:lang w:val="en-US"/>
        </w:rPr>
        <w:t>7</w:t>
      </w:r>
      <w:r w:rsidR="00CC532E" w:rsidRPr="0034426D">
        <w:rPr>
          <w:sz w:val="24"/>
          <w:szCs w:val="24"/>
          <w:lang w:val="en-US"/>
        </w:rPr>
        <w:t>,</w:t>
      </w:r>
      <w:r w:rsidR="00411159" w:rsidRPr="0034426D">
        <w:rPr>
          <w:sz w:val="24"/>
          <w:szCs w:val="24"/>
          <w:lang w:val="en-US"/>
        </w:rPr>
        <w:t>15</w:t>
      </w:r>
      <w:r w:rsidR="00411159">
        <w:rPr>
          <w:sz w:val="24"/>
          <w:szCs w:val="24"/>
          <w:lang w:val="en-US"/>
        </w:rPr>
        <w:t>8</w:t>
      </w:r>
      <w:r w:rsidR="00CC532E" w:rsidRPr="0034426D">
        <w:rPr>
          <w:sz w:val="24"/>
          <w:szCs w:val="24"/>
          <w:lang w:val="en-US"/>
        </w:rPr>
        <w:t>]</w:t>
      </w:r>
      <w:r w:rsidRPr="0034426D">
        <w:rPr>
          <w:sz w:val="24"/>
          <w:szCs w:val="24"/>
          <w:lang w:val="en-US"/>
        </w:rPr>
        <w:t xml:space="preserve">. A portion of particles that are opsonized in blood circulation traffics to the spleen, </w:t>
      </w:r>
      <w:r w:rsidR="00506579" w:rsidRPr="0034426D">
        <w:rPr>
          <w:sz w:val="24"/>
          <w:szCs w:val="24"/>
          <w:lang w:val="en-US"/>
        </w:rPr>
        <w:t>while</w:t>
      </w:r>
      <w:r w:rsidRPr="0034426D">
        <w:rPr>
          <w:sz w:val="24"/>
          <w:szCs w:val="24"/>
          <w:lang w:val="en-US"/>
        </w:rPr>
        <w:t xml:space="preserve"> the remainder is sequestered in the Kupffer cells of the liver. The force for clearance is so strong that most nanoparticles administrated intravenously will be removed from the blood in as little as a few minutes to hours </w:t>
      </w:r>
      <w:r w:rsidR="00CC532E" w:rsidRPr="0034426D">
        <w:rPr>
          <w:sz w:val="24"/>
          <w:szCs w:val="24"/>
          <w:lang w:val="en-US"/>
        </w:rPr>
        <w:t>[</w:t>
      </w:r>
      <w:r w:rsidR="00411159" w:rsidRPr="0034426D">
        <w:rPr>
          <w:sz w:val="24"/>
          <w:szCs w:val="24"/>
          <w:lang w:val="en-US"/>
        </w:rPr>
        <w:t>1</w:t>
      </w:r>
      <w:r w:rsidR="00411159">
        <w:rPr>
          <w:sz w:val="24"/>
          <w:szCs w:val="24"/>
          <w:lang w:val="en-US"/>
        </w:rPr>
        <w:t>59</w:t>
      </w:r>
      <w:r w:rsidR="00CC532E" w:rsidRPr="0034426D">
        <w:rPr>
          <w:sz w:val="24"/>
          <w:szCs w:val="24"/>
          <w:lang w:val="en-US"/>
        </w:rPr>
        <w:t>]</w:t>
      </w:r>
      <w:r w:rsidRPr="0034426D">
        <w:rPr>
          <w:sz w:val="24"/>
          <w:szCs w:val="24"/>
          <w:lang w:val="en-US"/>
        </w:rPr>
        <w:t xml:space="preserve">. Size reduction and surface coating have been employed to increase </w:t>
      </w:r>
      <w:r w:rsidR="00506579" w:rsidRPr="0034426D">
        <w:rPr>
          <w:sz w:val="24"/>
          <w:szCs w:val="24"/>
          <w:lang w:val="en-US"/>
        </w:rPr>
        <w:t xml:space="preserve">the </w:t>
      </w:r>
      <w:r w:rsidRPr="0034426D">
        <w:rPr>
          <w:sz w:val="24"/>
          <w:szCs w:val="24"/>
          <w:lang w:val="en-US"/>
        </w:rPr>
        <w:t>circulation time of superparamagnetic iron oxide (SPIO) nanoparticles used as intravascular contrast agents</w:t>
      </w:r>
      <w:r w:rsidR="00506579" w:rsidRPr="0034426D">
        <w:rPr>
          <w:sz w:val="24"/>
          <w:szCs w:val="24"/>
          <w:lang w:val="en-US"/>
        </w:rPr>
        <w:t>;</w:t>
      </w:r>
      <w:r w:rsidRPr="0034426D">
        <w:rPr>
          <w:sz w:val="24"/>
          <w:szCs w:val="24"/>
          <w:lang w:val="en-US"/>
        </w:rPr>
        <w:t xml:space="preserve"> however</w:t>
      </w:r>
      <w:r w:rsidR="00506579" w:rsidRPr="0034426D">
        <w:rPr>
          <w:sz w:val="24"/>
          <w:szCs w:val="24"/>
          <w:lang w:val="en-US"/>
        </w:rPr>
        <w:t>,</w:t>
      </w:r>
      <w:r w:rsidRPr="0034426D">
        <w:rPr>
          <w:sz w:val="24"/>
          <w:szCs w:val="24"/>
          <w:lang w:val="en-US"/>
        </w:rPr>
        <w:t xml:space="preserve"> the phagocytic cells limit the applicability of such compounds in the diagnostic applications, thus, the time window for bolus-based measurements is only a few minutes. </w:t>
      </w:r>
      <w:r w:rsidRPr="0034426D">
        <w:rPr>
          <w:sz w:val="24"/>
          <w:szCs w:val="24"/>
          <w:lang w:val="en-US"/>
        </w:rPr>
        <w:lastRenderedPageBreak/>
        <w:t>Magnetic resonance angiography (MRA) using conventional gadolinium (Gd)-based molecular contrast agents suffer</w:t>
      </w:r>
      <w:r w:rsidR="00506579" w:rsidRPr="0034426D">
        <w:rPr>
          <w:sz w:val="24"/>
          <w:szCs w:val="24"/>
          <w:lang w:val="en-US"/>
        </w:rPr>
        <w:t>s</w:t>
      </w:r>
      <w:r w:rsidRPr="0034426D">
        <w:rPr>
          <w:sz w:val="24"/>
          <w:szCs w:val="24"/>
          <w:lang w:val="en-US"/>
        </w:rPr>
        <w:t xml:space="preserve"> from poor physiological stability, uncontrollable pharmacokinetics, and a risk of toxicity. MRA studies using these molecular agents are also limited by short acquisition windows due to the rapid perfusion of molecules into extracellular compartments after first pass of aorta. Development of novel contrast agents overcom</w:t>
      </w:r>
      <w:r w:rsidR="00506579" w:rsidRPr="0034426D">
        <w:rPr>
          <w:sz w:val="24"/>
          <w:szCs w:val="24"/>
          <w:lang w:val="en-US"/>
        </w:rPr>
        <w:t>ing</w:t>
      </w:r>
      <w:r w:rsidRPr="0034426D">
        <w:rPr>
          <w:sz w:val="24"/>
          <w:szCs w:val="24"/>
          <w:lang w:val="en-US"/>
        </w:rPr>
        <w:t xml:space="preserve"> low efficiency and poor biodistribution are urgently needed for highly efficient MRA. Because of good biocompatibility and excellent magnetic properties</w:t>
      </w:r>
      <w:r w:rsidR="00506579" w:rsidRPr="0034426D">
        <w:rPr>
          <w:sz w:val="24"/>
          <w:szCs w:val="24"/>
          <w:lang w:val="en-US"/>
        </w:rPr>
        <w:t>,</w:t>
      </w:r>
      <w:r w:rsidRPr="0034426D">
        <w:rPr>
          <w:sz w:val="24"/>
          <w:szCs w:val="24"/>
          <w:lang w:val="en-US"/>
        </w:rPr>
        <w:t xml:space="preserve"> iron oxide nanoparticles have been extensively explored especially as Magnetic Resonance Imaging (MRI) contrast agents</w:t>
      </w:r>
      <w:r w:rsidR="00506579" w:rsidRPr="0034426D">
        <w:rPr>
          <w:sz w:val="24"/>
          <w:szCs w:val="24"/>
          <w:lang w:val="en-US"/>
        </w:rPr>
        <w:t>,</w:t>
      </w:r>
      <w:r w:rsidRPr="0034426D">
        <w:rPr>
          <w:sz w:val="24"/>
          <w:szCs w:val="24"/>
          <w:lang w:val="en-US"/>
        </w:rPr>
        <w:t xml:space="preserve"> through control</w:t>
      </w:r>
      <w:r w:rsidR="00506579" w:rsidRPr="0034426D">
        <w:rPr>
          <w:sz w:val="24"/>
          <w:szCs w:val="24"/>
          <w:lang w:val="en-US"/>
        </w:rPr>
        <w:t>s</w:t>
      </w:r>
      <w:r w:rsidRPr="0034426D">
        <w:rPr>
          <w:sz w:val="24"/>
          <w:szCs w:val="24"/>
          <w:lang w:val="en-US"/>
        </w:rPr>
        <w:t xml:space="preserve"> over the size, composition and morphology </w:t>
      </w:r>
      <w:r w:rsidR="00CC532E" w:rsidRPr="0034426D">
        <w:rPr>
          <w:sz w:val="24"/>
          <w:szCs w:val="24"/>
          <w:lang w:val="en-US"/>
        </w:rPr>
        <w:t>[</w:t>
      </w:r>
      <w:r w:rsidR="00411159" w:rsidRPr="0034426D">
        <w:rPr>
          <w:sz w:val="24"/>
          <w:szCs w:val="24"/>
          <w:lang w:val="en-US"/>
        </w:rPr>
        <w:t>1</w:t>
      </w:r>
      <w:r w:rsidR="00411159">
        <w:rPr>
          <w:sz w:val="24"/>
          <w:szCs w:val="24"/>
          <w:lang w:val="en-US"/>
        </w:rPr>
        <w:t>60</w:t>
      </w:r>
      <w:r w:rsidR="00CC532E" w:rsidRPr="0034426D">
        <w:rPr>
          <w:sz w:val="24"/>
          <w:szCs w:val="24"/>
          <w:lang w:val="en-US"/>
        </w:rPr>
        <w:t>]</w:t>
      </w:r>
      <w:r w:rsidRPr="0034426D">
        <w:rPr>
          <w:sz w:val="24"/>
          <w:szCs w:val="24"/>
          <w:lang w:val="en-US"/>
        </w:rPr>
        <w:t>.</w:t>
      </w:r>
    </w:p>
    <w:p w14:paraId="20877AA8" w14:textId="77777777" w:rsidR="00D4213C" w:rsidRPr="0034426D" w:rsidRDefault="00D4213C" w:rsidP="00D4213C">
      <w:pPr>
        <w:pStyle w:val="Nessunaspaziatura"/>
        <w:spacing w:line="360" w:lineRule="auto"/>
        <w:jc w:val="both"/>
        <w:rPr>
          <w:sz w:val="24"/>
          <w:szCs w:val="24"/>
          <w:lang w:val="en-US"/>
        </w:rPr>
      </w:pPr>
      <w:r w:rsidRPr="0034426D">
        <w:rPr>
          <w:sz w:val="24"/>
          <w:szCs w:val="24"/>
          <w:lang w:val="en-US"/>
        </w:rPr>
        <w:t xml:space="preserve">These nanoparticles are referred to as superparamagnetic iron oxide particles (SPIO), ultrasmall superparamagnetic iron oxide particles (USPIO), very small superparamagnetic iron oxide particles (VSOP), monocrystalline iron oxide particles (MION) and cross-linked iron oxide (CLIO) depending on their size, crystalline structure, coating and higher order organization </w:t>
      </w:r>
      <w:r w:rsidR="00CC532E" w:rsidRPr="0034426D">
        <w:rPr>
          <w:sz w:val="24"/>
          <w:szCs w:val="24"/>
          <w:lang w:val="en-US"/>
        </w:rPr>
        <w:t>[</w:t>
      </w:r>
      <w:r w:rsidR="00105B1D" w:rsidRPr="0034426D">
        <w:rPr>
          <w:sz w:val="24"/>
          <w:szCs w:val="24"/>
          <w:lang w:val="en-US"/>
        </w:rPr>
        <w:t>1</w:t>
      </w:r>
      <w:r w:rsidR="00105B1D">
        <w:rPr>
          <w:sz w:val="24"/>
          <w:szCs w:val="24"/>
          <w:lang w:val="en-US"/>
        </w:rPr>
        <w:t>6</w:t>
      </w:r>
      <w:r w:rsidR="00411159">
        <w:rPr>
          <w:sz w:val="24"/>
          <w:szCs w:val="24"/>
          <w:lang w:val="en-US"/>
        </w:rPr>
        <w:t>1</w:t>
      </w:r>
      <w:r w:rsidR="00CC532E" w:rsidRPr="0034426D">
        <w:rPr>
          <w:sz w:val="24"/>
          <w:szCs w:val="24"/>
          <w:lang w:val="en-US"/>
        </w:rPr>
        <w:t>]</w:t>
      </w:r>
      <w:r w:rsidRPr="0034426D">
        <w:rPr>
          <w:sz w:val="24"/>
          <w:szCs w:val="24"/>
          <w:lang w:val="en-US"/>
        </w:rPr>
        <w:t>. Within the SPIO family, two compounds are registered and approved: one compound goes under the name of Feridex® (Berlex) in the USA or Endorem® (size 80-150 nm, Guerbet) in Europe, and the second is Resovist® (size 62 nm, Schering) in Europe and Japan. In both cases</w:t>
      </w:r>
      <w:r w:rsidR="00EE75F6" w:rsidRPr="0034426D">
        <w:rPr>
          <w:sz w:val="24"/>
          <w:szCs w:val="24"/>
          <w:lang w:val="en-US"/>
        </w:rPr>
        <w:t>,</w:t>
      </w:r>
      <w:r w:rsidRPr="0034426D">
        <w:rPr>
          <w:sz w:val="24"/>
          <w:szCs w:val="24"/>
          <w:lang w:val="en-US"/>
        </w:rPr>
        <w:t xml:space="preserve"> the clinical targets are liver and spleen since SPIOs are rapidly cleared from the blood by the </w:t>
      </w:r>
      <w:r w:rsidR="00752962">
        <w:rPr>
          <w:sz w:val="24"/>
          <w:szCs w:val="24"/>
          <w:lang w:val="en-US"/>
        </w:rPr>
        <w:t>RES</w:t>
      </w:r>
      <w:r w:rsidR="00752962" w:rsidRPr="0034426D">
        <w:rPr>
          <w:sz w:val="24"/>
          <w:szCs w:val="24"/>
          <w:lang w:val="en-US"/>
        </w:rPr>
        <w:t xml:space="preserve"> </w:t>
      </w:r>
      <w:r w:rsidRPr="0034426D">
        <w:rPr>
          <w:sz w:val="24"/>
          <w:szCs w:val="24"/>
          <w:lang w:val="en-US"/>
        </w:rPr>
        <w:t>of these organs. The particles are of medium size and coated with dextran (Feridex®, Endorem®) or an alkali-treated low molecular weight dextran, called carboxydextran (Resovist®)</w:t>
      </w:r>
      <w:r w:rsidR="00CC532E" w:rsidRPr="0034426D">
        <w:rPr>
          <w:sz w:val="24"/>
          <w:szCs w:val="24"/>
          <w:lang w:val="en-US"/>
        </w:rPr>
        <w:t xml:space="preserve"> [16</w:t>
      </w:r>
      <w:r w:rsidR="00411159">
        <w:rPr>
          <w:sz w:val="24"/>
          <w:szCs w:val="24"/>
          <w:lang w:val="en-US"/>
        </w:rPr>
        <w:t>2</w:t>
      </w:r>
      <w:r w:rsidR="00CC532E" w:rsidRPr="0034426D">
        <w:rPr>
          <w:sz w:val="24"/>
          <w:szCs w:val="24"/>
          <w:lang w:val="en-US"/>
        </w:rPr>
        <w:t>].</w:t>
      </w:r>
    </w:p>
    <w:p w14:paraId="08793CC7" w14:textId="77777777" w:rsidR="00D4213C" w:rsidRPr="0034426D" w:rsidRDefault="00D4213C" w:rsidP="00D4213C">
      <w:pPr>
        <w:pStyle w:val="Nessunaspaziatura"/>
        <w:spacing w:line="360" w:lineRule="auto"/>
        <w:jc w:val="both"/>
        <w:rPr>
          <w:sz w:val="24"/>
          <w:szCs w:val="24"/>
          <w:lang w:val="en-US"/>
        </w:rPr>
      </w:pPr>
      <w:r w:rsidRPr="0034426D">
        <w:rPr>
          <w:sz w:val="24"/>
          <w:szCs w:val="24"/>
          <w:lang w:val="en-US"/>
        </w:rPr>
        <w:t>The principal effect of the SPIO particles is on T2* relaxation</w:t>
      </w:r>
      <w:r w:rsidR="00506579" w:rsidRPr="0034426D">
        <w:rPr>
          <w:sz w:val="24"/>
          <w:szCs w:val="24"/>
          <w:lang w:val="en-US"/>
        </w:rPr>
        <w:t>,</w:t>
      </w:r>
      <w:r w:rsidRPr="0034426D">
        <w:rPr>
          <w:sz w:val="24"/>
          <w:szCs w:val="24"/>
          <w:lang w:val="en-US"/>
        </w:rPr>
        <w:t xml:space="preserve"> and thus MR imaging is usually performed using T2/T2*-weighted sequences in which the tissue signal loss is due to the susceptibility effects of the iron oxide core. Enhancement on T1-weighted images can also be seen with the smaller Resovist®, however due to the high r2 relaxivity, Resovist® is more suited to T2/T2*-weighted imaging </w:t>
      </w:r>
      <w:r w:rsidR="00CC532E" w:rsidRPr="0034426D">
        <w:rPr>
          <w:sz w:val="24"/>
          <w:szCs w:val="24"/>
          <w:lang w:val="en-US"/>
        </w:rPr>
        <w:t>[</w:t>
      </w:r>
      <w:r w:rsidR="00411159" w:rsidRPr="0034426D">
        <w:rPr>
          <w:sz w:val="24"/>
          <w:szCs w:val="24"/>
          <w:lang w:val="en-US"/>
        </w:rPr>
        <w:t>16</w:t>
      </w:r>
      <w:r w:rsidR="00411159">
        <w:rPr>
          <w:sz w:val="24"/>
          <w:szCs w:val="24"/>
          <w:lang w:val="en-US"/>
        </w:rPr>
        <w:t>3</w:t>
      </w:r>
      <w:r w:rsidR="00CC532E" w:rsidRPr="0034426D">
        <w:rPr>
          <w:sz w:val="24"/>
          <w:szCs w:val="24"/>
          <w:lang w:val="en-US"/>
        </w:rPr>
        <w:t>].</w:t>
      </w:r>
    </w:p>
    <w:p w14:paraId="2E1D452F" w14:textId="77777777" w:rsidR="00D4213C" w:rsidRPr="0034426D" w:rsidRDefault="00D4213C">
      <w:pPr>
        <w:pStyle w:val="Nessunaspaziatura"/>
        <w:spacing w:line="360" w:lineRule="auto"/>
        <w:jc w:val="both"/>
        <w:rPr>
          <w:sz w:val="24"/>
          <w:szCs w:val="24"/>
          <w:lang w:val="en-US"/>
        </w:rPr>
      </w:pPr>
      <w:r w:rsidRPr="0034426D">
        <w:rPr>
          <w:sz w:val="24"/>
          <w:szCs w:val="24"/>
          <w:lang w:val="en-US"/>
        </w:rPr>
        <w:t xml:space="preserve">The differences between SPIO and USPIO are the longer blood half-life of the smaller particles and the lower T2 relaxivity of the latter. The </w:t>
      </w:r>
      <w:r w:rsidR="005E71E2" w:rsidRPr="0034426D">
        <w:rPr>
          <w:sz w:val="24"/>
          <w:szCs w:val="24"/>
          <w:lang w:val="en-US"/>
        </w:rPr>
        <w:t>USPIO particles’ longer</w:t>
      </w:r>
      <w:r w:rsidRPr="0034426D">
        <w:rPr>
          <w:sz w:val="24"/>
          <w:szCs w:val="24"/>
          <w:lang w:val="en-US"/>
        </w:rPr>
        <w:t xml:space="preserve"> blood half-life of 1–2 h versus several minutes </w:t>
      </w:r>
      <w:r w:rsidR="00E259B3">
        <w:rPr>
          <w:sz w:val="24"/>
          <w:szCs w:val="24"/>
          <w:lang w:val="en-US"/>
        </w:rPr>
        <w:t>of</w:t>
      </w:r>
      <w:r w:rsidR="00E259B3" w:rsidRPr="0034426D">
        <w:rPr>
          <w:sz w:val="24"/>
          <w:szCs w:val="24"/>
          <w:lang w:val="en-US"/>
        </w:rPr>
        <w:t xml:space="preserve"> </w:t>
      </w:r>
      <w:r w:rsidRPr="0034426D">
        <w:rPr>
          <w:sz w:val="24"/>
          <w:szCs w:val="24"/>
          <w:lang w:val="en-US"/>
        </w:rPr>
        <w:t>the normal SPIO particles opens up new clinical indications, e.g</w:t>
      </w:r>
      <w:r w:rsidR="00396E07" w:rsidRPr="0034426D">
        <w:rPr>
          <w:sz w:val="24"/>
          <w:szCs w:val="24"/>
          <w:lang w:val="en-US"/>
        </w:rPr>
        <w:t>.</w:t>
      </w:r>
      <w:r w:rsidRPr="0034426D">
        <w:rPr>
          <w:sz w:val="24"/>
          <w:szCs w:val="24"/>
          <w:lang w:val="en-US"/>
        </w:rPr>
        <w:t xml:space="preserve"> MRA and the targeting of organs other than spleen, liver or bone marrow. The only USPIO particle approved in the United States by the Food and Drug Administration (FDA) is ferumoxytol (Feraheme; AMAG Pharmaceuticals, Cambridge, Mass)</w:t>
      </w:r>
      <w:r w:rsidR="00A268B5" w:rsidRPr="0034426D">
        <w:rPr>
          <w:sz w:val="24"/>
          <w:szCs w:val="24"/>
          <w:lang w:val="en-US"/>
        </w:rPr>
        <w:t xml:space="preserve"> </w:t>
      </w:r>
      <w:r w:rsidRPr="0034426D">
        <w:rPr>
          <w:sz w:val="24"/>
          <w:szCs w:val="24"/>
          <w:lang w:val="en-US"/>
        </w:rPr>
        <w:t xml:space="preserve">for </w:t>
      </w:r>
      <w:r w:rsidR="00A268B5" w:rsidRPr="0034426D">
        <w:rPr>
          <w:sz w:val="24"/>
          <w:szCs w:val="24"/>
          <w:lang w:val="en-US"/>
        </w:rPr>
        <w:t xml:space="preserve">the </w:t>
      </w:r>
      <w:r w:rsidRPr="0034426D">
        <w:rPr>
          <w:sz w:val="24"/>
          <w:szCs w:val="24"/>
          <w:lang w:val="en-US"/>
        </w:rPr>
        <w:t>treat</w:t>
      </w:r>
      <w:r w:rsidR="00A268B5" w:rsidRPr="0034426D">
        <w:rPr>
          <w:sz w:val="24"/>
          <w:szCs w:val="24"/>
          <w:lang w:val="en-US"/>
        </w:rPr>
        <w:t>ment of</w:t>
      </w:r>
      <w:r w:rsidRPr="0034426D">
        <w:rPr>
          <w:sz w:val="24"/>
          <w:szCs w:val="24"/>
          <w:lang w:val="en-US"/>
        </w:rPr>
        <w:t xml:space="preserve"> iron-deficient anemia in adults with chronic kidney disease. Sigovan et al. demonstrate</w:t>
      </w:r>
      <w:r w:rsidR="00CF18C6" w:rsidRPr="0034426D">
        <w:rPr>
          <w:sz w:val="24"/>
          <w:szCs w:val="24"/>
          <w:lang w:val="en-US"/>
        </w:rPr>
        <w:t>d</w:t>
      </w:r>
      <w:r w:rsidRPr="0034426D">
        <w:rPr>
          <w:sz w:val="24"/>
          <w:szCs w:val="24"/>
          <w:lang w:val="en-US"/>
        </w:rPr>
        <w:t xml:space="preserve"> the feasibility of using ferumoxytol</w:t>
      </w:r>
      <w:r w:rsidR="00F77AD6" w:rsidRPr="0034426D">
        <w:rPr>
          <w:sz w:val="24"/>
          <w:szCs w:val="24"/>
          <w:lang w:val="en-US"/>
        </w:rPr>
        <w:t xml:space="preserve"> as a good first-pass </w:t>
      </w:r>
      <w:r w:rsidRPr="0034426D">
        <w:rPr>
          <w:sz w:val="24"/>
          <w:szCs w:val="24"/>
          <w:lang w:val="en-US"/>
        </w:rPr>
        <w:t xml:space="preserve">MRA </w:t>
      </w:r>
      <w:r w:rsidR="00F77AD6" w:rsidRPr="0034426D">
        <w:rPr>
          <w:sz w:val="24"/>
          <w:szCs w:val="24"/>
          <w:lang w:val="en-US"/>
        </w:rPr>
        <w:t>agent</w:t>
      </w:r>
      <w:r w:rsidRPr="0034426D">
        <w:rPr>
          <w:sz w:val="24"/>
          <w:szCs w:val="24"/>
          <w:lang w:val="en-US"/>
        </w:rPr>
        <w:t xml:space="preserve"> in imaging h</w:t>
      </w:r>
      <w:r w:rsidR="00A268B5" w:rsidRPr="0034426D">
        <w:rPr>
          <w:sz w:val="24"/>
          <w:szCs w:val="24"/>
          <w:lang w:val="en-US"/>
        </w:rPr>
        <w:t>a</w:t>
      </w:r>
      <w:r w:rsidRPr="0034426D">
        <w:rPr>
          <w:sz w:val="24"/>
          <w:szCs w:val="24"/>
          <w:lang w:val="en-US"/>
        </w:rPr>
        <w:t>emodialysis fistulas</w:t>
      </w:r>
      <w:r w:rsidR="00AF319A" w:rsidRPr="0034426D">
        <w:rPr>
          <w:sz w:val="24"/>
          <w:szCs w:val="24"/>
          <w:lang w:val="en-US"/>
        </w:rPr>
        <w:t>,</w:t>
      </w:r>
      <w:r w:rsidRPr="0034426D">
        <w:rPr>
          <w:sz w:val="24"/>
          <w:szCs w:val="24"/>
          <w:lang w:val="en-US"/>
        </w:rPr>
        <w:t xml:space="preserve"> with consistently superior image quality compared </w:t>
      </w:r>
      <w:r w:rsidR="00AF319A" w:rsidRPr="0034426D">
        <w:rPr>
          <w:sz w:val="24"/>
          <w:szCs w:val="24"/>
          <w:lang w:val="en-US"/>
        </w:rPr>
        <w:t xml:space="preserve">to </w:t>
      </w:r>
      <w:r w:rsidRPr="0034426D">
        <w:rPr>
          <w:sz w:val="24"/>
          <w:szCs w:val="24"/>
          <w:lang w:val="en-US"/>
        </w:rPr>
        <w:lastRenderedPageBreak/>
        <w:t>non</w:t>
      </w:r>
      <w:r w:rsidR="00F77AD6" w:rsidRPr="0034426D">
        <w:rPr>
          <w:sz w:val="24"/>
          <w:szCs w:val="24"/>
          <w:lang w:val="en-US"/>
        </w:rPr>
        <w:t>-</w:t>
      </w:r>
      <w:r w:rsidRPr="0034426D">
        <w:rPr>
          <w:sz w:val="24"/>
          <w:szCs w:val="24"/>
          <w:lang w:val="en-US"/>
        </w:rPr>
        <w:t xml:space="preserve">enhanced TOF MRA </w:t>
      </w:r>
      <w:r w:rsidR="00CC532E" w:rsidRPr="0034426D">
        <w:rPr>
          <w:sz w:val="24"/>
          <w:szCs w:val="24"/>
          <w:lang w:val="en-US"/>
        </w:rPr>
        <w:t>[</w:t>
      </w:r>
      <w:r w:rsidR="000C72B0">
        <w:rPr>
          <w:sz w:val="24"/>
          <w:szCs w:val="24"/>
          <w:lang w:val="en-US"/>
        </w:rPr>
        <w:t>16</w:t>
      </w:r>
      <w:r w:rsidR="00411159">
        <w:rPr>
          <w:sz w:val="24"/>
          <w:szCs w:val="24"/>
          <w:lang w:val="en-US"/>
        </w:rPr>
        <w:t>4</w:t>
      </w:r>
      <w:r w:rsidR="00CC532E" w:rsidRPr="0034426D">
        <w:rPr>
          <w:sz w:val="24"/>
          <w:szCs w:val="24"/>
          <w:lang w:val="en-US"/>
        </w:rPr>
        <w:t>]</w:t>
      </w:r>
      <w:r w:rsidRPr="0034426D">
        <w:rPr>
          <w:sz w:val="24"/>
          <w:szCs w:val="24"/>
          <w:lang w:val="en-US"/>
        </w:rPr>
        <w:t xml:space="preserve">. However, </w:t>
      </w:r>
      <w:r w:rsidR="00AF319A" w:rsidRPr="0034426D">
        <w:rPr>
          <w:sz w:val="24"/>
          <w:szCs w:val="24"/>
          <w:lang w:val="en-US"/>
        </w:rPr>
        <w:t>f</w:t>
      </w:r>
      <w:r w:rsidRPr="0034426D">
        <w:rPr>
          <w:sz w:val="24"/>
          <w:szCs w:val="24"/>
          <w:lang w:val="en-US"/>
        </w:rPr>
        <w:t xml:space="preserve">erumoxytol </w:t>
      </w:r>
      <w:r w:rsidR="00F77AD6" w:rsidRPr="0034426D">
        <w:rPr>
          <w:sz w:val="24"/>
          <w:szCs w:val="24"/>
          <w:lang w:val="en-US"/>
        </w:rPr>
        <w:t>h</w:t>
      </w:r>
      <w:r w:rsidRPr="0034426D">
        <w:rPr>
          <w:sz w:val="24"/>
          <w:szCs w:val="24"/>
          <w:lang w:val="en-US"/>
        </w:rPr>
        <w:t xml:space="preserve">as recently </w:t>
      </w:r>
      <w:r w:rsidR="00F77AD6" w:rsidRPr="0034426D">
        <w:rPr>
          <w:sz w:val="24"/>
          <w:szCs w:val="24"/>
          <w:lang w:val="en-US"/>
        </w:rPr>
        <w:t xml:space="preserve">been </w:t>
      </w:r>
      <w:r w:rsidRPr="0034426D">
        <w:rPr>
          <w:sz w:val="24"/>
          <w:szCs w:val="24"/>
          <w:lang w:val="en-US"/>
        </w:rPr>
        <w:t>associated with severe anaphylaxis and at least 18 patients</w:t>
      </w:r>
      <w:r w:rsidR="00F77AD6" w:rsidRPr="0034426D">
        <w:rPr>
          <w:sz w:val="24"/>
          <w:szCs w:val="24"/>
          <w:lang w:val="en-US"/>
        </w:rPr>
        <w:t>’</w:t>
      </w:r>
      <w:r w:rsidRPr="0034426D">
        <w:rPr>
          <w:sz w:val="24"/>
          <w:szCs w:val="24"/>
          <w:lang w:val="en-US"/>
        </w:rPr>
        <w:t xml:space="preserve"> deaths</w:t>
      </w:r>
      <w:r w:rsidR="00F77AD6" w:rsidRPr="0034426D">
        <w:rPr>
          <w:sz w:val="24"/>
          <w:szCs w:val="24"/>
          <w:lang w:val="en-US"/>
        </w:rPr>
        <w:t>,</w:t>
      </w:r>
      <w:r w:rsidRPr="0034426D">
        <w:rPr>
          <w:sz w:val="24"/>
          <w:szCs w:val="24"/>
          <w:lang w:val="en-US"/>
        </w:rPr>
        <w:t xml:space="preserve"> and now </w:t>
      </w:r>
      <w:r w:rsidR="00F77AD6" w:rsidRPr="0034426D">
        <w:rPr>
          <w:sz w:val="24"/>
          <w:szCs w:val="24"/>
          <w:lang w:val="en-US"/>
        </w:rPr>
        <w:t>it</w:t>
      </w:r>
      <w:r w:rsidRPr="0034426D">
        <w:rPr>
          <w:sz w:val="24"/>
          <w:szCs w:val="24"/>
          <w:lang w:val="en-US"/>
        </w:rPr>
        <w:t xml:space="preserve"> also carries an FDA black box warning (FDA Orders Stricter Warnings for Ferumoxytol (Feraheme), Medscape 2015, </w:t>
      </w:r>
      <w:hyperlink r:id="rId10" w:history="1">
        <w:r w:rsidRPr="0034426D">
          <w:rPr>
            <w:rStyle w:val="Collegamentoipertestuale"/>
            <w:rFonts w:cs="Times New Roman"/>
            <w:sz w:val="24"/>
            <w:szCs w:val="24"/>
            <w:lang w:val="en-US"/>
          </w:rPr>
          <w:t>http://www.medscape.com/viewarticle/842309</w:t>
        </w:r>
      </w:hyperlink>
      <w:r w:rsidR="00CC532E" w:rsidRPr="0034426D">
        <w:rPr>
          <w:rStyle w:val="Collegamentoipertestuale"/>
          <w:rFonts w:cs="Times New Roman"/>
          <w:color w:val="auto"/>
          <w:sz w:val="24"/>
          <w:szCs w:val="24"/>
          <w:u w:val="none"/>
          <w:lang w:val="en-US"/>
        </w:rPr>
        <w:t>, [</w:t>
      </w:r>
      <w:r w:rsidR="000C72B0">
        <w:rPr>
          <w:rStyle w:val="Collegamentoipertestuale"/>
          <w:rFonts w:cs="Times New Roman"/>
          <w:color w:val="auto"/>
          <w:sz w:val="24"/>
          <w:szCs w:val="24"/>
          <w:u w:val="none"/>
          <w:lang w:val="en-US"/>
        </w:rPr>
        <w:t>16</w:t>
      </w:r>
      <w:r w:rsidR="00411159">
        <w:rPr>
          <w:rStyle w:val="Collegamentoipertestuale"/>
          <w:rFonts w:cs="Times New Roman"/>
          <w:color w:val="auto"/>
          <w:sz w:val="24"/>
          <w:szCs w:val="24"/>
          <w:u w:val="none"/>
          <w:lang w:val="en-US"/>
        </w:rPr>
        <w:t>5</w:t>
      </w:r>
      <w:r w:rsidR="00CC532E" w:rsidRPr="0034426D">
        <w:rPr>
          <w:rStyle w:val="Collegamentoipertestuale"/>
          <w:rFonts w:cs="Times New Roman"/>
          <w:color w:val="auto"/>
          <w:sz w:val="24"/>
          <w:szCs w:val="24"/>
          <w:u w:val="none"/>
          <w:lang w:val="en-US"/>
        </w:rPr>
        <w:t>]</w:t>
      </w:r>
      <w:r w:rsidRPr="0034426D">
        <w:rPr>
          <w:sz w:val="24"/>
          <w:szCs w:val="24"/>
          <w:lang w:val="en-US"/>
        </w:rPr>
        <w:t>).</w:t>
      </w:r>
    </w:p>
    <w:p w14:paraId="33F3D9F7" w14:textId="77777777" w:rsidR="00D4213C" w:rsidRPr="0034426D" w:rsidRDefault="00D4213C" w:rsidP="00D4213C">
      <w:pPr>
        <w:pStyle w:val="Nessunaspaziatura"/>
        <w:spacing w:line="360" w:lineRule="auto"/>
        <w:jc w:val="both"/>
        <w:rPr>
          <w:sz w:val="24"/>
          <w:szCs w:val="24"/>
          <w:lang w:val="en-US"/>
        </w:rPr>
      </w:pPr>
      <w:r w:rsidRPr="0034426D">
        <w:rPr>
          <w:sz w:val="24"/>
          <w:szCs w:val="24"/>
          <w:lang w:val="en-US"/>
        </w:rPr>
        <w:t xml:space="preserve">In this context, the development of innovative strategies able to prolong the </w:t>
      </w:r>
      <w:r w:rsidR="00F77AD6" w:rsidRPr="0034426D">
        <w:rPr>
          <w:sz w:val="24"/>
          <w:szCs w:val="24"/>
          <w:lang w:val="en-US"/>
        </w:rPr>
        <w:t>contrast agents’</w:t>
      </w:r>
      <w:r w:rsidRPr="0034426D">
        <w:rPr>
          <w:sz w:val="24"/>
          <w:szCs w:val="24"/>
          <w:lang w:val="en-US"/>
        </w:rPr>
        <w:t xml:space="preserve"> residence time in blood is required. We focused our attention on the strategies based on the encapsulation of contrast agents in red blood cells (RBCs)</w:t>
      </w:r>
      <w:r w:rsidR="00F77AD6" w:rsidRPr="0034426D">
        <w:rPr>
          <w:sz w:val="24"/>
          <w:szCs w:val="24"/>
          <w:lang w:val="en-US"/>
        </w:rPr>
        <w:t>,</w:t>
      </w:r>
      <w:r w:rsidRPr="0034426D">
        <w:rPr>
          <w:sz w:val="24"/>
          <w:szCs w:val="24"/>
          <w:lang w:val="en-US"/>
        </w:rPr>
        <w:t xml:space="preserve"> </w:t>
      </w:r>
      <w:r w:rsidR="00F77AD6" w:rsidRPr="0034426D">
        <w:rPr>
          <w:sz w:val="24"/>
          <w:szCs w:val="24"/>
          <w:lang w:val="en-US"/>
        </w:rPr>
        <w:t>which</w:t>
      </w:r>
      <w:r w:rsidRPr="0034426D">
        <w:rPr>
          <w:sz w:val="24"/>
          <w:szCs w:val="24"/>
          <w:lang w:val="en-US"/>
        </w:rPr>
        <w:t xml:space="preserve"> represent potential biomimetic and biocompatible carriers able to survive for days improving the biomedical and diagnostic applications in the detection of </w:t>
      </w:r>
      <w:r w:rsidR="00F77AD6" w:rsidRPr="0034426D">
        <w:rPr>
          <w:sz w:val="24"/>
          <w:szCs w:val="24"/>
          <w:lang w:val="en-US"/>
        </w:rPr>
        <w:t xml:space="preserve">the </w:t>
      </w:r>
      <w:r w:rsidRPr="0034426D">
        <w:rPr>
          <w:sz w:val="24"/>
          <w:szCs w:val="24"/>
          <w:lang w:val="en-US"/>
        </w:rPr>
        <w:t>vascular system.</w:t>
      </w:r>
    </w:p>
    <w:p w14:paraId="2CFDB3EB" w14:textId="77777777" w:rsidR="00A313BB" w:rsidRPr="0034426D" w:rsidRDefault="00D4213C" w:rsidP="00A313BB">
      <w:pPr>
        <w:spacing w:after="0" w:line="360" w:lineRule="auto"/>
        <w:jc w:val="both"/>
        <w:rPr>
          <w:rFonts w:cs="Times New Roman"/>
          <w:sz w:val="24"/>
          <w:szCs w:val="24"/>
          <w:lang w:val="en-US"/>
        </w:rPr>
      </w:pPr>
      <w:r w:rsidRPr="0034426D">
        <w:rPr>
          <w:rFonts w:cs="Times New Roman"/>
          <w:sz w:val="24"/>
          <w:szCs w:val="24"/>
          <w:lang w:val="en-US"/>
        </w:rPr>
        <w:t xml:space="preserve">The encapsulation of citrate-coated SPIO nanoparticles into RBCs by a hypotonic haemolysis method was proposed by Brähler et al. </w:t>
      </w:r>
      <w:r w:rsidR="00CC532E" w:rsidRPr="0034426D">
        <w:rPr>
          <w:rFonts w:cs="Times New Roman"/>
          <w:sz w:val="24"/>
          <w:szCs w:val="24"/>
          <w:lang w:val="en-US"/>
        </w:rPr>
        <w:t>[</w:t>
      </w:r>
      <w:r w:rsidR="000C72B0">
        <w:rPr>
          <w:rFonts w:cs="Times New Roman"/>
          <w:sz w:val="24"/>
          <w:szCs w:val="24"/>
          <w:lang w:val="en-US"/>
        </w:rPr>
        <w:t>16</w:t>
      </w:r>
      <w:r w:rsidR="00411159">
        <w:rPr>
          <w:rFonts w:cs="Times New Roman"/>
          <w:sz w:val="24"/>
          <w:szCs w:val="24"/>
          <w:lang w:val="en-US"/>
        </w:rPr>
        <w:t>6</w:t>
      </w:r>
      <w:r w:rsidR="00CC532E" w:rsidRPr="0034426D">
        <w:rPr>
          <w:rFonts w:cs="Times New Roman"/>
          <w:sz w:val="24"/>
          <w:szCs w:val="24"/>
          <w:lang w:val="en-US"/>
        </w:rPr>
        <w:t>]</w:t>
      </w:r>
      <w:r w:rsidRPr="0034426D">
        <w:rPr>
          <w:rFonts w:cs="Times New Roman"/>
          <w:sz w:val="24"/>
          <w:szCs w:val="24"/>
          <w:lang w:val="en-US"/>
        </w:rPr>
        <w:t xml:space="preserve"> and Stenberg et al. </w:t>
      </w:r>
      <w:r w:rsidR="00CC532E" w:rsidRPr="0034426D">
        <w:rPr>
          <w:rFonts w:cs="Times New Roman"/>
          <w:sz w:val="24"/>
          <w:szCs w:val="24"/>
          <w:lang w:val="en-US"/>
        </w:rPr>
        <w:t>[</w:t>
      </w:r>
      <w:r w:rsidR="000C72B0">
        <w:rPr>
          <w:rFonts w:cs="Times New Roman"/>
          <w:sz w:val="24"/>
          <w:szCs w:val="24"/>
          <w:lang w:val="en-US"/>
        </w:rPr>
        <w:t>16</w:t>
      </w:r>
      <w:r w:rsidR="00411159">
        <w:rPr>
          <w:rFonts w:cs="Times New Roman"/>
          <w:sz w:val="24"/>
          <w:szCs w:val="24"/>
          <w:lang w:val="en-US"/>
        </w:rPr>
        <w:t>7</w:t>
      </w:r>
      <w:r w:rsidR="00CC532E" w:rsidRPr="0034426D">
        <w:rPr>
          <w:rFonts w:cs="Times New Roman"/>
          <w:sz w:val="24"/>
          <w:szCs w:val="24"/>
          <w:lang w:val="en-US"/>
        </w:rPr>
        <w:t>]</w:t>
      </w:r>
      <w:r w:rsidRPr="0034426D">
        <w:rPr>
          <w:rFonts w:cs="Times New Roman"/>
          <w:sz w:val="24"/>
          <w:szCs w:val="24"/>
          <w:lang w:val="en-US"/>
        </w:rPr>
        <w:t xml:space="preserve">. </w:t>
      </w:r>
      <w:r w:rsidR="00F77AD6" w:rsidRPr="0034426D">
        <w:rPr>
          <w:rFonts w:cs="Times New Roman"/>
          <w:sz w:val="24"/>
          <w:szCs w:val="24"/>
          <w:lang w:val="en-US"/>
        </w:rPr>
        <w:t>As f</w:t>
      </w:r>
      <w:r w:rsidRPr="0034426D">
        <w:rPr>
          <w:rFonts w:cs="Times New Roman"/>
          <w:sz w:val="24"/>
          <w:szCs w:val="24"/>
          <w:lang w:val="en-US"/>
        </w:rPr>
        <w:t xml:space="preserve">or </w:t>
      </w:r>
      <w:r w:rsidR="00F77AD6" w:rsidRPr="0034426D">
        <w:rPr>
          <w:rFonts w:cs="Times New Roman"/>
          <w:sz w:val="24"/>
          <w:szCs w:val="24"/>
          <w:lang w:val="en-US"/>
        </w:rPr>
        <w:t>the</w:t>
      </w:r>
      <w:r w:rsidRPr="0034426D">
        <w:rPr>
          <w:rFonts w:cs="Times New Roman"/>
          <w:sz w:val="24"/>
          <w:szCs w:val="24"/>
          <w:lang w:val="en-US"/>
        </w:rPr>
        <w:t xml:space="preserve"> loading procedure, RBCs and magnetite nanoparticles </w:t>
      </w:r>
      <w:r w:rsidR="00F77AD6" w:rsidRPr="0034426D">
        <w:rPr>
          <w:rFonts w:cs="Times New Roman"/>
          <w:sz w:val="24"/>
          <w:szCs w:val="24"/>
          <w:lang w:val="en-US"/>
        </w:rPr>
        <w:t>a</w:t>
      </w:r>
      <w:r w:rsidRPr="0034426D">
        <w:rPr>
          <w:rFonts w:cs="Times New Roman"/>
          <w:sz w:val="24"/>
          <w:szCs w:val="24"/>
          <w:lang w:val="en-US"/>
        </w:rPr>
        <w:t>re incubated under stirring in hypo</w:t>
      </w:r>
      <w:r w:rsidR="000A4D2B" w:rsidRPr="0034426D">
        <w:rPr>
          <w:rFonts w:cs="Times New Roman"/>
          <w:sz w:val="24"/>
          <w:szCs w:val="24"/>
          <w:lang w:val="en-US"/>
        </w:rPr>
        <w:t>-</w:t>
      </w:r>
      <w:r w:rsidRPr="0034426D">
        <w:rPr>
          <w:rFonts w:cs="Times New Roman"/>
          <w:sz w:val="24"/>
          <w:szCs w:val="24"/>
          <w:lang w:val="en-US"/>
        </w:rPr>
        <w:t xml:space="preserve">osmotic lysing buffer and subsequently resealed by incubation in phosphate buffered saline. Although the resulting SPIO-loaded RBCs responded to the external magnetic field and relaxation times (T1 and T2) dramatically decreased, electron transmission analyses (TEM) have showed the magnetic nanoparticles to be not only distributed inside the cells but mostly concentrated in the cell membranes, both on the internal and external sides. This cell surface modification is a restriction for </w:t>
      </w:r>
      <w:r w:rsidRPr="0034426D">
        <w:rPr>
          <w:rFonts w:cs="Times New Roman"/>
          <w:i/>
          <w:sz w:val="24"/>
          <w:szCs w:val="24"/>
          <w:lang w:val="en-US"/>
        </w:rPr>
        <w:t>in vivo</w:t>
      </w:r>
      <w:r w:rsidRPr="0034426D">
        <w:rPr>
          <w:rFonts w:cs="Times New Roman"/>
          <w:sz w:val="24"/>
          <w:szCs w:val="24"/>
          <w:lang w:val="en-US"/>
        </w:rPr>
        <w:t xml:space="preserve"> applications because it could activate the elimination of loaded cells by the immune system. Therefore, these SPIO-loaded RBCs showing iron oxides nanoparticles on cell surface are considered non-viable cells. It is known that intentional RBC membrane damages or modifications allow the specific targeting of carrier-RBCs to the Kupffer cells of the liver and other phagocytes of the RES. Hence, the circulation time of carrier RBCs strongly depends on membrane integrity and </w:t>
      </w:r>
      <w:r w:rsidR="00F77AD6" w:rsidRPr="0034426D">
        <w:rPr>
          <w:rFonts w:cs="Times New Roman"/>
          <w:sz w:val="24"/>
          <w:szCs w:val="24"/>
          <w:lang w:val="en-US"/>
        </w:rPr>
        <w:t>therefore</w:t>
      </w:r>
      <w:r w:rsidRPr="0034426D">
        <w:rPr>
          <w:rFonts w:cs="Times New Roman"/>
          <w:sz w:val="24"/>
          <w:szCs w:val="24"/>
          <w:lang w:val="en-US"/>
        </w:rPr>
        <w:t xml:space="preserve"> on the applied loading procedure </w:t>
      </w:r>
      <w:r w:rsidR="00CC532E" w:rsidRPr="0034426D">
        <w:rPr>
          <w:rFonts w:cs="Times New Roman"/>
          <w:sz w:val="24"/>
          <w:szCs w:val="24"/>
          <w:lang w:val="en-US"/>
        </w:rPr>
        <w:t>[</w:t>
      </w:r>
      <w:r w:rsidR="000C72B0">
        <w:rPr>
          <w:rFonts w:cs="Times New Roman"/>
          <w:sz w:val="24"/>
          <w:szCs w:val="24"/>
          <w:lang w:val="en-US"/>
        </w:rPr>
        <w:t>16</w:t>
      </w:r>
      <w:r w:rsidR="00411159">
        <w:rPr>
          <w:rFonts w:cs="Times New Roman"/>
          <w:sz w:val="24"/>
          <w:szCs w:val="24"/>
          <w:lang w:val="en-US"/>
        </w:rPr>
        <w:t>8</w:t>
      </w:r>
      <w:r w:rsidR="00CC532E" w:rsidRPr="0034426D">
        <w:rPr>
          <w:rFonts w:cs="Times New Roman"/>
          <w:sz w:val="24"/>
          <w:szCs w:val="24"/>
          <w:lang w:val="en-US"/>
        </w:rPr>
        <w:t>]</w:t>
      </w:r>
      <w:r w:rsidRPr="0034426D">
        <w:rPr>
          <w:rFonts w:cs="Times New Roman"/>
          <w:sz w:val="24"/>
          <w:szCs w:val="24"/>
          <w:lang w:val="en-US"/>
        </w:rPr>
        <w:t xml:space="preserve">. In 2008, Antonelli et al. </w:t>
      </w:r>
      <w:r w:rsidR="00CC532E" w:rsidRPr="0034426D">
        <w:rPr>
          <w:rFonts w:cs="Times New Roman"/>
          <w:sz w:val="24"/>
          <w:szCs w:val="24"/>
          <w:lang w:val="en-US"/>
        </w:rPr>
        <w:t>[</w:t>
      </w:r>
      <w:r w:rsidR="00411159">
        <w:rPr>
          <w:rFonts w:cs="Times New Roman"/>
          <w:sz w:val="24"/>
          <w:szCs w:val="24"/>
          <w:lang w:val="en-US"/>
        </w:rPr>
        <w:t>169</w:t>
      </w:r>
      <w:r w:rsidR="00CC532E" w:rsidRPr="0034426D">
        <w:rPr>
          <w:rFonts w:cs="Times New Roman"/>
          <w:sz w:val="24"/>
          <w:szCs w:val="24"/>
          <w:lang w:val="en-US"/>
        </w:rPr>
        <w:t xml:space="preserve">] </w:t>
      </w:r>
      <w:r w:rsidRPr="0034426D">
        <w:rPr>
          <w:rFonts w:cs="Times New Roman"/>
          <w:sz w:val="24"/>
          <w:szCs w:val="24"/>
          <w:lang w:val="en-US"/>
        </w:rPr>
        <w:t>demonstrated that it is possible to encapsulate magnetic nanoparticles in human and murine RBCs without changing the main features of the natural cells using a procedure that permits a transient opening of cell membrane pores through a controlled hypotonic dialysis and successive isotonic resealing and reannealing of cells. Several SPIO nanoparticles, either commercially available or newly synthesized, have been evaluated for encapsulation into RBCs, and the results have shown that not all nanoparticles can be successfully loaded into erythrocytes, depend</w:t>
      </w:r>
      <w:r w:rsidR="00F77AD6" w:rsidRPr="0034426D">
        <w:rPr>
          <w:rFonts w:cs="Times New Roman"/>
          <w:sz w:val="24"/>
          <w:szCs w:val="24"/>
          <w:lang w:val="en-US"/>
        </w:rPr>
        <w:t>ing</w:t>
      </w:r>
      <w:r w:rsidRPr="0034426D">
        <w:rPr>
          <w:rFonts w:cs="Times New Roman"/>
          <w:sz w:val="24"/>
          <w:szCs w:val="24"/>
          <w:lang w:val="en-US"/>
        </w:rPr>
        <w:t xml:space="preserve"> on different chemical-physical characteristics</w:t>
      </w:r>
      <w:r w:rsidR="00F77AD6" w:rsidRPr="0034426D">
        <w:rPr>
          <w:rFonts w:cs="Times New Roman"/>
          <w:sz w:val="24"/>
          <w:szCs w:val="24"/>
          <w:lang w:val="en-US"/>
        </w:rPr>
        <w:t>,</w:t>
      </w:r>
      <w:r w:rsidRPr="0034426D">
        <w:rPr>
          <w:rFonts w:cs="Times New Roman"/>
          <w:sz w:val="24"/>
          <w:szCs w:val="24"/>
          <w:lang w:val="en-US"/>
        </w:rPr>
        <w:t xml:space="preserve"> such as different coating agents and size </w:t>
      </w:r>
      <w:r w:rsidR="00CC532E" w:rsidRPr="0034426D">
        <w:rPr>
          <w:rFonts w:cs="Times New Roman"/>
          <w:sz w:val="24"/>
          <w:szCs w:val="24"/>
          <w:lang w:val="en-US"/>
        </w:rPr>
        <w:t>[</w:t>
      </w:r>
      <w:r w:rsidR="00105B1D">
        <w:rPr>
          <w:rFonts w:cs="Times New Roman"/>
          <w:sz w:val="24"/>
          <w:szCs w:val="24"/>
          <w:lang w:val="en-US"/>
        </w:rPr>
        <w:t>17</w:t>
      </w:r>
      <w:r w:rsidR="00336AA9">
        <w:rPr>
          <w:rFonts w:cs="Times New Roman"/>
          <w:sz w:val="24"/>
          <w:szCs w:val="24"/>
          <w:lang w:val="en-US"/>
        </w:rPr>
        <w:t>0</w:t>
      </w:r>
      <w:r w:rsidR="00CC532E" w:rsidRPr="0034426D">
        <w:rPr>
          <w:rFonts w:cs="Times New Roman"/>
          <w:sz w:val="24"/>
          <w:szCs w:val="24"/>
          <w:lang w:val="en-US"/>
        </w:rPr>
        <w:t>].</w:t>
      </w:r>
      <w:r w:rsidRPr="0034426D">
        <w:rPr>
          <w:rFonts w:cs="Times New Roman"/>
          <w:sz w:val="24"/>
          <w:szCs w:val="24"/>
          <w:lang w:val="en-US"/>
        </w:rPr>
        <w:t xml:space="preserve"> SPIOs should be monodispersed and sufficiently small so that they can readily pass into the RBCs when they become porous </w:t>
      </w:r>
      <w:r w:rsidR="00CA249E" w:rsidRPr="0034426D">
        <w:rPr>
          <w:rFonts w:cs="Times New Roman"/>
          <w:sz w:val="24"/>
          <w:szCs w:val="24"/>
          <w:lang w:val="en-US"/>
        </w:rPr>
        <w:t>up</w:t>
      </w:r>
      <w:r w:rsidRPr="0034426D">
        <w:rPr>
          <w:rFonts w:cs="Times New Roman"/>
          <w:sz w:val="24"/>
          <w:szCs w:val="24"/>
          <w:lang w:val="en-US"/>
        </w:rPr>
        <w:t xml:space="preserve">on exposure to the hypotonic dialysis solution. The hypotonic solution induces a transient opening of pores with diameters between 50 </w:t>
      </w:r>
      <w:r w:rsidRPr="0034426D">
        <w:rPr>
          <w:rFonts w:cs="Times New Roman"/>
          <w:sz w:val="24"/>
          <w:szCs w:val="24"/>
          <w:lang w:val="en-US"/>
        </w:rPr>
        <w:lastRenderedPageBreak/>
        <w:t xml:space="preserve">and 200 nm in the RBC membrane </w:t>
      </w:r>
      <w:r w:rsidR="00CC532E" w:rsidRPr="0034426D">
        <w:rPr>
          <w:rFonts w:cs="Times New Roman"/>
          <w:sz w:val="24"/>
          <w:szCs w:val="24"/>
          <w:lang w:val="en-US"/>
        </w:rPr>
        <w:t>[</w:t>
      </w:r>
      <w:r w:rsidR="00336AA9">
        <w:rPr>
          <w:rFonts w:cs="Times New Roman"/>
          <w:sz w:val="24"/>
          <w:szCs w:val="24"/>
          <w:lang w:val="en-US"/>
        </w:rPr>
        <w:t>171</w:t>
      </w:r>
      <w:r w:rsidR="00CC532E" w:rsidRPr="0034426D">
        <w:rPr>
          <w:rFonts w:cs="Times New Roman"/>
          <w:sz w:val="24"/>
          <w:szCs w:val="24"/>
          <w:lang w:val="en-US"/>
        </w:rPr>
        <w:t>]</w:t>
      </w:r>
      <w:r w:rsidR="000A4D2B" w:rsidRPr="0034426D">
        <w:rPr>
          <w:rFonts w:cs="Times New Roman"/>
          <w:sz w:val="24"/>
          <w:szCs w:val="24"/>
          <w:lang w:val="en-US"/>
        </w:rPr>
        <w:t>,</w:t>
      </w:r>
      <w:r w:rsidRPr="0034426D">
        <w:rPr>
          <w:rFonts w:cs="Times New Roman"/>
          <w:sz w:val="24"/>
          <w:szCs w:val="24"/>
          <w:lang w:val="en-US"/>
        </w:rPr>
        <w:t xml:space="preserve"> </w:t>
      </w:r>
      <w:r w:rsidR="00CA249E" w:rsidRPr="0034426D">
        <w:rPr>
          <w:rFonts w:cs="Times New Roman"/>
          <w:sz w:val="24"/>
          <w:szCs w:val="24"/>
          <w:lang w:val="en-US"/>
        </w:rPr>
        <w:t>allowing</w:t>
      </w:r>
      <w:r w:rsidRPr="0034426D">
        <w:rPr>
          <w:rFonts w:cs="Times New Roman"/>
          <w:sz w:val="24"/>
          <w:szCs w:val="24"/>
          <w:lang w:val="en-US"/>
        </w:rPr>
        <w:t xml:space="preserve"> particles </w:t>
      </w:r>
      <w:r w:rsidR="00CA249E" w:rsidRPr="0034426D">
        <w:rPr>
          <w:rFonts w:cs="Times New Roman"/>
          <w:sz w:val="24"/>
          <w:szCs w:val="24"/>
          <w:lang w:val="en-US"/>
        </w:rPr>
        <w:t>to</w:t>
      </w:r>
      <w:r w:rsidRPr="0034426D">
        <w:rPr>
          <w:rFonts w:cs="Times New Roman"/>
          <w:sz w:val="24"/>
          <w:szCs w:val="24"/>
          <w:lang w:val="en-US"/>
        </w:rPr>
        <w:t xml:space="preserve"> enter the cells. After resealing the pores in an isotonic buffer, particles are trapped in</w:t>
      </w:r>
      <w:r w:rsidR="00CA249E" w:rsidRPr="0034426D">
        <w:rPr>
          <w:rFonts w:cs="Times New Roman"/>
          <w:sz w:val="24"/>
          <w:szCs w:val="24"/>
          <w:lang w:val="en-US"/>
        </w:rPr>
        <w:t>side</w:t>
      </w:r>
      <w:r w:rsidRPr="0034426D">
        <w:rPr>
          <w:rFonts w:cs="Times New Roman"/>
          <w:sz w:val="24"/>
          <w:szCs w:val="24"/>
          <w:lang w:val="en-US"/>
        </w:rPr>
        <w:t xml:space="preserve"> the RBCs. The size of the particles is not restricted to SPIOs, such as Resovist® and Endorem®; the range of sizes also includes USPIOs, such as Sinerem®, which can be </w:t>
      </w:r>
      <w:r w:rsidR="00CA249E" w:rsidRPr="0034426D">
        <w:rPr>
          <w:rFonts w:cs="Times New Roman"/>
          <w:sz w:val="24"/>
          <w:szCs w:val="24"/>
          <w:lang w:val="en-US"/>
        </w:rPr>
        <w:t xml:space="preserve">successfully </w:t>
      </w:r>
      <w:r w:rsidRPr="0034426D">
        <w:rPr>
          <w:rFonts w:cs="Times New Roman"/>
          <w:sz w:val="24"/>
          <w:szCs w:val="24"/>
          <w:lang w:val="en-US"/>
        </w:rPr>
        <w:t>loaded into RBCs. The total preparation procedure typically results in a cell recovery of loaded RBCs ranging from 60% to 70%, similar to that for unloaded RBCs</w:t>
      </w:r>
      <w:r w:rsidR="00CA249E" w:rsidRPr="0034426D">
        <w:rPr>
          <w:rFonts w:cs="Times New Roman"/>
          <w:sz w:val="24"/>
          <w:szCs w:val="24"/>
          <w:lang w:val="en-US"/>
        </w:rPr>
        <w:t>,</w:t>
      </w:r>
      <w:r w:rsidRPr="0034426D">
        <w:rPr>
          <w:rFonts w:cs="Times New Roman"/>
          <w:sz w:val="24"/>
          <w:szCs w:val="24"/>
          <w:lang w:val="en-US"/>
        </w:rPr>
        <w:t xml:space="preserve"> and with the same properties </w:t>
      </w:r>
      <w:r w:rsidR="00CA249E" w:rsidRPr="0034426D">
        <w:rPr>
          <w:rFonts w:cs="Times New Roman"/>
          <w:sz w:val="24"/>
          <w:szCs w:val="24"/>
          <w:lang w:val="en-US"/>
        </w:rPr>
        <w:t>as those</w:t>
      </w:r>
      <w:r w:rsidRPr="0034426D">
        <w:rPr>
          <w:rFonts w:cs="Times New Roman"/>
          <w:sz w:val="24"/>
          <w:szCs w:val="24"/>
          <w:lang w:val="en-US"/>
        </w:rPr>
        <w:t xml:space="preserve"> of native cells </w:t>
      </w:r>
      <w:r w:rsidR="00CC532E" w:rsidRPr="0034426D">
        <w:rPr>
          <w:rFonts w:cs="Times New Roman"/>
          <w:sz w:val="24"/>
          <w:szCs w:val="24"/>
          <w:lang w:val="en-US"/>
        </w:rPr>
        <w:t>[</w:t>
      </w:r>
      <w:r w:rsidR="00336AA9">
        <w:rPr>
          <w:rFonts w:cs="Times New Roman"/>
          <w:sz w:val="24"/>
          <w:szCs w:val="24"/>
          <w:lang w:val="en-US"/>
        </w:rPr>
        <w:t>169</w:t>
      </w:r>
      <w:r w:rsidR="00105B1D">
        <w:rPr>
          <w:rFonts w:cs="Times New Roman"/>
          <w:sz w:val="24"/>
          <w:szCs w:val="24"/>
          <w:lang w:val="en-US"/>
        </w:rPr>
        <w:t>,17</w:t>
      </w:r>
      <w:r w:rsidR="00336AA9">
        <w:rPr>
          <w:rFonts w:cs="Times New Roman"/>
          <w:sz w:val="24"/>
          <w:szCs w:val="24"/>
          <w:lang w:val="en-US"/>
        </w:rPr>
        <w:t>0</w:t>
      </w:r>
      <w:r w:rsidR="00CC532E" w:rsidRPr="0034426D">
        <w:rPr>
          <w:rFonts w:cs="Times New Roman"/>
          <w:sz w:val="24"/>
          <w:szCs w:val="24"/>
          <w:lang w:val="en-US"/>
        </w:rPr>
        <w:t>]</w:t>
      </w:r>
      <w:r w:rsidRPr="0034426D">
        <w:rPr>
          <w:rFonts w:cs="Times New Roman"/>
          <w:sz w:val="24"/>
          <w:szCs w:val="24"/>
          <w:lang w:val="en-US"/>
        </w:rPr>
        <w:t xml:space="preserve">. Nuclear magnetic resonance (NMR) measurements showed that SPIO-loaded RBCs, such as Resovist®- Endorem®- and Sinerem®-loaded RBCs, contain final iron concentrations ranging from 5.3 to 16.7 mM for human RBCs and from 1.4 to 3.55 mM for murine RBCs. The SPIO-loaded RBCs are </w:t>
      </w:r>
      <w:r w:rsidR="00CA249E" w:rsidRPr="0034426D">
        <w:rPr>
          <w:rFonts w:cs="Times New Roman"/>
          <w:sz w:val="24"/>
          <w:szCs w:val="24"/>
          <w:lang w:val="en-US"/>
        </w:rPr>
        <w:t xml:space="preserve">attracted by an </w:t>
      </w:r>
      <w:r w:rsidRPr="0034426D">
        <w:rPr>
          <w:rFonts w:cs="Times New Roman"/>
          <w:sz w:val="24"/>
          <w:szCs w:val="24"/>
          <w:lang w:val="en-US"/>
        </w:rPr>
        <w:t xml:space="preserve">external magnetic field </w:t>
      </w:r>
      <w:r w:rsidR="00CA249E" w:rsidRPr="0034426D">
        <w:rPr>
          <w:rFonts w:cs="Times New Roman"/>
          <w:sz w:val="24"/>
          <w:szCs w:val="24"/>
          <w:lang w:val="en-US"/>
        </w:rPr>
        <w:t xml:space="preserve">of 3000 G </w:t>
      </w:r>
      <w:r w:rsidRPr="0034426D">
        <w:rPr>
          <w:rFonts w:cs="Times New Roman"/>
          <w:sz w:val="24"/>
          <w:szCs w:val="24"/>
          <w:lang w:val="en-US"/>
        </w:rPr>
        <w:t>and the</w:t>
      </w:r>
      <w:r w:rsidR="00CA249E" w:rsidRPr="0034426D">
        <w:rPr>
          <w:rFonts w:cs="Times New Roman"/>
          <w:sz w:val="24"/>
          <w:szCs w:val="24"/>
          <w:lang w:val="en-US"/>
        </w:rPr>
        <w:t>y maintain for several days a</w:t>
      </w:r>
      <w:r w:rsidRPr="0034426D">
        <w:rPr>
          <w:rFonts w:cs="Times New Roman"/>
          <w:sz w:val="24"/>
          <w:szCs w:val="24"/>
          <w:lang w:val="en-US"/>
        </w:rPr>
        <w:t xml:space="preserve"> relaxation rate (R) </w:t>
      </w:r>
      <w:r w:rsidR="00CA249E" w:rsidRPr="0034426D">
        <w:rPr>
          <w:rFonts w:cs="Times New Roman"/>
          <w:sz w:val="24"/>
          <w:szCs w:val="24"/>
          <w:lang w:val="en-US"/>
        </w:rPr>
        <w:t xml:space="preserve">of about </w:t>
      </w:r>
      <w:r w:rsidRPr="0034426D">
        <w:rPr>
          <w:rFonts w:cs="Times New Roman"/>
          <w:sz w:val="24"/>
          <w:szCs w:val="24"/>
          <w:lang w:val="en-US"/>
        </w:rPr>
        <w:t xml:space="preserve">one order of magnitude higher </w:t>
      </w:r>
      <w:r w:rsidR="00CA249E" w:rsidRPr="0034426D">
        <w:rPr>
          <w:rFonts w:cs="Times New Roman"/>
          <w:sz w:val="24"/>
          <w:szCs w:val="24"/>
          <w:lang w:val="en-US"/>
        </w:rPr>
        <w:t>than</w:t>
      </w:r>
      <w:r w:rsidRPr="0034426D">
        <w:rPr>
          <w:rFonts w:cs="Times New Roman"/>
          <w:sz w:val="24"/>
          <w:szCs w:val="24"/>
          <w:lang w:val="en-US"/>
        </w:rPr>
        <w:t xml:space="preserve"> the value of control cells </w:t>
      </w:r>
      <w:r w:rsidR="00CC532E" w:rsidRPr="0034426D">
        <w:rPr>
          <w:rFonts w:cs="Times New Roman"/>
          <w:sz w:val="24"/>
          <w:szCs w:val="24"/>
          <w:lang w:val="en-US"/>
        </w:rPr>
        <w:t>[</w:t>
      </w:r>
      <w:r w:rsidR="00336AA9">
        <w:rPr>
          <w:rFonts w:cs="Times New Roman"/>
          <w:sz w:val="24"/>
          <w:szCs w:val="24"/>
          <w:lang w:val="en-US"/>
        </w:rPr>
        <w:t>169</w:t>
      </w:r>
      <w:r w:rsidR="00CC532E" w:rsidRPr="0034426D">
        <w:rPr>
          <w:rFonts w:cs="Times New Roman"/>
          <w:sz w:val="24"/>
          <w:szCs w:val="24"/>
          <w:lang w:val="en-US"/>
        </w:rPr>
        <w:t>]</w:t>
      </w:r>
      <w:r w:rsidRPr="0034426D">
        <w:rPr>
          <w:rFonts w:cs="Times New Roman"/>
          <w:sz w:val="24"/>
          <w:szCs w:val="24"/>
          <w:lang w:val="en-US"/>
        </w:rPr>
        <w:t xml:space="preserve">. </w:t>
      </w:r>
      <w:r w:rsidR="00CA249E" w:rsidRPr="0034426D">
        <w:rPr>
          <w:rFonts w:cs="Times New Roman"/>
          <w:sz w:val="24"/>
          <w:szCs w:val="24"/>
          <w:lang w:val="en-US"/>
        </w:rPr>
        <w:t>C</w:t>
      </w:r>
      <w:r w:rsidRPr="0034426D">
        <w:rPr>
          <w:rFonts w:cs="Times New Roman"/>
          <w:sz w:val="24"/>
          <w:szCs w:val="24"/>
          <w:lang w:val="en-US"/>
        </w:rPr>
        <w:t xml:space="preserve">ell integrity </w:t>
      </w:r>
      <w:r w:rsidR="00CA249E" w:rsidRPr="0034426D">
        <w:rPr>
          <w:rFonts w:cs="Times New Roman"/>
          <w:sz w:val="24"/>
          <w:szCs w:val="24"/>
          <w:lang w:val="en-US"/>
        </w:rPr>
        <w:t xml:space="preserve">and morphology </w:t>
      </w:r>
      <w:r w:rsidRPr="0034426D">
        <w:rPr>
          <w:rFonts w:cs="Times New Roman"/>
          <w:sz w:val="24"/>
          <w:szCs w:val="24"/>
          <w:lang w:val="en-US"/>
        </w:rPr>
        <w:t xml:space="preserve">of these constructs </w:t>
      </w:r>
      <w:r w:rsidR="00CA249E" w:rsidRPr="0034426D">
        <w:rPr>
          <w:rFonts w:cs="Times New Roman"/>
          <w:sz w:val="24"/>
          <w:szCs w:val="24"/>
          <w:lang w:val="en-US"/>
        </w:rPr>
        <w:t xml:space="preserve">did not change </w:t>
      </w:r>
      <w:r w:rsidRPr="0034426D">
        <w:rPr>
          <w:rFonts w:cs="Times New Roman"/>
          <w:sz w:val="24"/>
          <w:szCs w:val="24"/>
          <w:lang w:val="en-US"/>
        </w:rPr>
        <w:t>with respect to control cells</w:t>
      </w:r>
      <w:r w:rsidR="005570FA" w:rsidRPr="0034426D">
        <w:rPr>
          <w:rFonts w:cs="Times New Roman"/>
          <w:sz w:val="24"/>
          <w:szCs w:val="24"/>
          <w:lang w:val="en-US"/>
        </w:rPr>
        <w:t xml:space="preserve">. </w:t>
      </w:r>
      <w:r w:rsidR="00CA249E" w:rsidRPr="0034426D">
        <w:rPr>
          <w:rFonts w:cs="Times New Roman"/>
          <w:sz w:val="24"/>
          <w:szCs w:val="24"/>
          <w:lang w:val="en-US"/>
        </w:rPr>
        <w:t xml:space="preserve">Furthermore, </w:t>
      </w:r>
      <w:r w:rsidRPr="0034426D">
        <w:rPr>
          <w:rFonts w:cs="Times New Roman"/>
          <w:sz w:val="24"/>
          <w:szCs w:val="24"/>
          <w:lang w:val="en-US"/>
        </w:rPr>
        <w:t xml:space="preserve">TEM </w:t>
      </w:r>
      <w:r w:rsidR="00CA249E" w:rsidRPr="0034426D">
        <w:rPr>
          <w:rFonts w:cs="Times New Roman"/>
          <w:sz w:val="24"/>
          <w:szCs w:val="24"/>
          <w:lang w:val="en-US"/>
        </w:rPr>
        <w:t>analyses of SPIO-loaded RBCs revealed</w:t>
      </w:r>
      <w:r w:rsidRPr="0034426D">
        <w:rPr>
          <w:rFonts w:cs="Times New Roman"/>
          <w:sz w:val="24"/>
          <w:szCs w:val="24"/>
          <w:lang w:val="en-US"/>
        </w:rPr>
        <w:t xml:space="preserve"> a homogeneous distribution of </w:t>
      </w:r>
      <w:r w:rsidR="00CA249E" w:rsidRPr="0034426D">
        <w:rPr>
          <w:rFonts w:cs="Times New Roman"/>
          <w:sz w:val="24"/>
          <w:szCs w:val="24"/>
          <w:lang w:val="en-US"/>
        </w:rPr>
        <w:t>iron oxides into cell cytoplasm</w:t>
      </w:r>
      <w:r w:rsidRPr="0034426D">
        <w:rPr>
          <w:rFonts w:cs="Times New Roman"/>
          <w:sz w:val="24"/>
          <w:szCs w:val="24"/>
          <w:lang w:val="en-US"/>
        </w:rPr>
        <w:t xml:space="preserve">, without </w:t>
      </w:r>
      <w:r w:rsidR="00CA249E" w:rsidRPr="0034426D">
        <w:rPr>
          <w:rFonts w:cs="Times New Roman"/>
          <w:sz w:val="24"/>
          <w:szCs w:val="24"/>
          <w:lang w:val="en-US"/>
        </w:rPr>
        <w:t>any presence</w:t>
      </w:r>
      <w:r w:rsidRPr="0034426D">
        <w:rPr>
          <w:rFonts w:cs="Times New Roman"/>
          <w:sz w:val="24"/>
          <w:szCs w:val="24"/>
          <w:lang w:val="en-US"/>
        </w:rPr>
        <w:t xml:space="preserve"> of </w:t>
      </w:r>
      <w:r w:rsidR="00CA249E" w:rsidRPr="0034426D">
        <w:rPr>
          <w:rFonts w:cs="Times New Roman"/>
          <w:sz w:val="24"/>
          <w:szCs w:val="24"/>
          <w:lang w:val="en-US"/>
        </w:rPr>
        <w:t xml:space="preserve">aggregated </w:t>
      </w:r>
      <w:r w:rsidRPr="0034426D">
        <w:rPr>
          <w:rFonts w:cs="Times New Roman"/>
          <w:sz w:val="24"/>
          <w:szCs w:val="24"/>
          <w:lang w:val="en-US"/>
        </w:rPr>
        <w:t>particle</w:t>
      </w:r>
      <w:r w:rsidR="00CA249E" w:rsidRPr="0034426D">
        <w:rPr>
          <w:rFonts w:cs="Times New Roman"/>
          <w:sz w:val="24"/>
          <w:szCs w:val="24"/>
          <w:lang w:val="en-US"/>
        </w:rPr>
        <w:t>s</w:t>
      </w:r>
      <w:r w:rsidR="00396E07" w:rsidRPr="0034426D">
        <w:rPr>
          <w:rFonts w:cs="Times New Roman"/>
          <w:sz w:val="24"/>
          <w:szCs w:val="24"/>
          <w:lang w:val="en-US"/>
        </w:rPr>
        <w:t xml:space="preserve"> </w:t>
      </w:r>
      <w:r w:rsidR="002D309C" w:rsidRPr="0034426D">
        <w:rPr>
          <w:rFonts w:cs="Times New Roman"/>
          <w:sz w:val="24"/>
          <w:szCs w:val="24"/>
          <w:lang w:val="en-US"/>
        </w:rPr>
        <w:t>on the outer side of the membrane</w:t>
      </w:r>
      <w:r w:rsidRPr="0034426D">
        <w:rPr>
          <w:rFonts w:cs="Times New Roman"/>
          <w:sz w:val="24"/>
          <w:szCs w:val="24"/>
          <w:lang w:val="en-US"/>
        </w:rPr>
        <w:t xml:space="preserve">. This result is </w:t>
      </w:r>
      <w:r w:rsidR="001D6FDF" w:rsidRPr="0034426D">
        <w:rPr>
          <w:rFonts w:cs="Times New Roman"/>
          <w:sz w:val="24"/>
          <w:szCs w:val="24"/>
          <w:lang w:val="en-US"/>
        </w:rPr>
        <w:t>very important to avoid RBC recognition and clearance by the immune system. D</w:t>
      </w:r>
      <w:r w:rsidRPr="0034426D">
        <w:rPr>
          <w:rFonts w:cs="Times New Roman"/>
          <w:sz w:val="24"/>
          <w:szCs w:val="24"/>
          <w:lang w:val="en-US"/>
        </w:rPr>
        <w:t>ifferent</w:t>
      </w:r>
      <w:r w:rsidR="001D6FDF" w:rsidRPr="0034426D">
        <w:rPr>
          <w:rFonts w:cs="Times New Roman"/>
          <w:sz w:val="24"/>
          <w:szCs w:val="24"/>
          <w:lang w:val="en-US"/>
        </w:rPr>
        <w:t>ly,</w:t>
      </w:r>
      <w:r w:rsidRPr="0034426D">
        <w:rPr>
          <w:rFonts w:cs="Times New Roman"/>
          <w:sz w:val="24"/>
          <w:szCs w:val="24"/>
          <w:lang w:val="en-US"/>
        </w:rPr>
        <w:t xml:space="preserve"> </w:t>
      </w:r>
      <w:r w:rsidR="001D6FDF" w:rsidRPr="0034426D">
        <w:rPr>
          <w:rFonts w:cs="Times New Roman"/>
          <w:sz w:val="24"/>
          <w:szCs w:val="24"/>
          <w:lang w:val="en-US"/>
        </w:rPr>
        <w:t>other Authors</w:t>
      </w:r>
      <w:r w:rsidRPr="0034426D">
        <w:rPr>
          <w:rFonts w:cs="Times New Roman"/>
          <w:sz w:val="24"/>
          <w:szCs w:val="24"/>
          <w:lang w:val="en-US"/>
        </w:rPr>
        <w:t xml:space="preserve"> in previous works have reported a technique that produced crenated ghost </w:t>
      </w:r>
      <w:r w:rsidR="001D6FDF" w:rsidRPr="0034426D">
        <w:rPr>
          <w:rFonts w:cs="Times New Roman"/>
          <w:sz w:val="24"/>
          <w:szCs w:val="24"/>
          <w:lang w:val="en-US"/>
        </w:rPr>
        <w:t>RBCs</w:t>
      </w:r>
      <w:r w:rsidRPr="0034426D">
        <w:rPr>
          <w:rFonts w:cs="Times New Roman"/>
          <w:sz w:val="24"/>
          <w:szCs w:val="24"/>
          <w:lang w:val="en-US"/>
        </w:rPr>
        <w:t xml:space="preserve"> with limited stability </w:t>
      </w:r>
      <w:r w:rsidR="00CC532E" w:rsidRPr="0034426D">
        <w:rPr>
          <w:rFonts w:cs="Times New Roman"/>
          <w:sz w:val="24"/>
          <w:szCs w:val="24"/>
          <w:lang w:val="en-US"/>
        </w:rPr>
        <w:t>[</w:t>
      </w:r>
      <w:r w:rsidR="00336AA9">
        <w:rPr>
          <w:rFonts w:cs="Times New Roman"/>
          <w:sz w:val="24"/>
          <w:szCs w:val="24"/>
          <w:lang w:val="en-US"/>
        </w:rPr>
        <w:t>172</w:t>
      </w:r>
      <w:r w:rsidR="000C72B0">
        <w:rPr>
          <w:rFonts w:cs="Times New Roman"/>
          <w:sz w:val="24"/>
          <w:szCs w:val="24"/>
          <w:lang w:val="en-US"/>
        </w:rPr>
        <w:t>,</w:t>
      </w:r>
      <w:r w:rsidR="00336AA9">
        <w:rPr>
          <w:rFonts w:cs="Times New Roman"/>
          <w:sz w:val="24"/>
          <w:szCs w:val="24"/>
          <w:lang w:val="en-US"/>
        </w:rPr>
        <w:t>173</w:t>
      </w:r>
      <w:r w:rsidR="00CC532E" w:rsidRPr="0034426D">
        <w:rPr>
          <w:rFonts w:cs="Times New Roman"/>
          <w:sz w:val="24"/>
          <w:szCs w:val="24"/>
          <w:lang w:val="en-US"/>
        </w:rPr>
        <w:t>]</w:t>
      </w:r>
      <w:r w:rsidRPr="0034426D">
        <w:rPr>
          <w:rFonts w:cs="Times New Roman"/>
          <w:sz w:val="24"/>
          <w:szCs w:val="24"/>
          <w:lang w:val="en-US"/>
        </w:rPr>
        <w:t xml:space="preserve">. </w:t>
      </w:r>
      <w:r w:rsidR="001D6FDF" w:rsidRPr="0034426D">
        <w:rPr>
          <w:rFonts w:cs="Times New Roman"/>
          <w:sz w:val="24"/>
          <w:szCs w:val="24"/>
          <w:lang w:val="en-US"/>
        </w:rPr>
        <w:t>Instead, SPIO-loaded RBCs</w:t>
      </w:r>
      <w:r w:rsidRPr="0034426D">
        <w:rPr>
          <w:rFonts w:cs="Times New Roman"/>
          <w:sz w:val="24"/>
          <w:szCs w:val="24"/>
          <w:lang w:val="en-US"/>
        </w:rPr>
        <w:t xml:space="preserve"> proposed by Antonelli et al</w:t>
      </w:r>
      <w:r w:rsidR="00CC532E" w:rsidRPr="0034426D">
        <w:rPr>
          <w:rFonts w:cs="Times New Roman"/>
          <w:sz w:val="24"/>
          <w:szCs w:val="24"/>
          <w:lang w:val="en-US"/>
        </w:rPr>
        <w:t>. [</w:t>
      </w:r>
      <w:r w:rsidR="00336AA9">
        <w:rPr>
          <w:rFonts w:cs="Times New Roman"/>
          <w:sz w:val="24"/>
          <w:szCs w:val="24"/>
          <w:lang w:val="en-US"/>
        </w:rPr>
        <w:t>169</w:t>
      </w:r>
      <w:r w:rsidR="00E6706B">
        <w:rPr>
          <w:rFonts w:cs="Times New Roman"/>
          <w:sz w:val="24"/>
          <w:szCs w:val="24"/>
          <w:lang w:val="en-US"/>
        </w:rPr>
        <w:t>,17</w:t>
      </w:r>
      <w:r w:rsidR="00336AA9">
        <w:rPr>
          <w:rFonts w:cs="Times New Roman"/>
          <w:sz w:val="24"/>
          <w:szCs w:val="24"/>
          <w:lang w:val="en-US"/>
        </w:rPr>
        <w:t>0</w:t>
      </w:r>
      <w:r w:rsidR="00CC532E" w:rsidRPr="0034426D">
        <w:rPr>
          <w:rFonts w:cs="Times New Roman"/>
          <w:sz w:val="24"/>
          <w:szCs w:val="24"/>
          <w:lang w:val="en-US"/>
        </w:rPr>
        <w:t>]</w:t>
      </w:r>
      <w:r w:rsidRPr="0034426D">
        <w:rPr>
          <w:rFonts w:cs="Times New Roman"/>
          <w:sz w:val="24"/>
          <w:szCs w:val="24"/>
          <w:lang w:val="en-US"/>
        </w:rPr>
        <w:t xml:space="preserve"> are still viable cells </w:t>
      </w:r>
      <w:r w:rsidR="001D6FDF" w:rsidRPr="0034426D">
        <w:rPr>
          <w:rFonts w:cs="Times New Roman"/>
          <w:sz w:val="24"/>
          <w:szCs w:val="24"/>
          <w:lang w:val="en-US"/>
        </w:rPr>
        <w:t>and once injected in</w:t>
      </w:r>
      <w:r w:rsidRPr="0034426D">
        <w:rPr>
          <w:rFonts w:cs="Times New Roman"/>
          <w:sz w:val="24"/>
          <w:szCs w:val="24"/>
          <w:lang w:val="en-US"/>
        </w:rPr>
        <w:t xml:space="preserve"> the host </w:t>
      </w:r>
      <w:r w:rsidR="001D6FDF" w:rsidRPr="0034426D">
        <w:rPr>
          <w:rFonts w:cs="Times New Roman"/>
          <w:sz w:val="24"/>
          <w:szCs w:val="24"/>
          <w:lang w:val="en-US"/>
        </w:rPr>
        <w:t>are not removed</w:t>
      </w:r>
      <w:r w:rsidRPr="0034426D">
        <w:rPr>
          <w:rFonts w:cs="Times New Roman"/>
          <w:sz w:val="24"/>
          <w:szCs w:val="24"/>
          <w:lang w:val="en-US"/>
        </w:rPr>
        <w:t xml:space="preserve"> by the </w:t>
      </w:r>
      <w:r w:rsidR="001D6FDF" w:rsidRPr="0034426D">
        <w:rPr>
          <w:rFonts w:cs="Times New Roman"/>
          <w:sz w:val="24"/>
          <w:szCs w:val="24"/>
          <w:lang w:val="en-US"/>
        </w:rPr>
        <w:t xml:space="preserve">phagocyte </w:t>
      </w:r>
      <w:r w:rsidRPr="0034426D">
        <w:rPr>
          <w:rFonts w:cs="Times New Roman"/>
          <w:sz w:val="24"/>
          <w:szCs w:val="24"/>
          <w:lang w:val="en-US"/>
        </w:rPr>
        <w:t>system</w:t>
      </w:r>
      <w:r w:rsidR="001D6FDF" w:rsidRPr="0034426D">
        <w:rPr>
          <w:rFonts w:cs="Times New Roman"/>
          <w:sz w:val="24"/>
          <w:szCs w:val="24"/>
          <w:lang w:val="en-US"/>
        </w:rPr>
        <w:t>,</w:t>
      </w:r>
      <w:r w:rsidRPr="0034426D">
        <w:rPr>
          <w:rFonts w:cs="Times New Roman"/>
          <w:sz w:val="24"/>
          <w:szCs w:val="24"/>
          <w:lang w:val="en-US"/>
        </w:rPr>
        <w:t xml:space="preserve"> as </w:t>
      </w:r>
      <w:r w:rsidR="001D6FDF" w:rsidRPr="0034426D">
        <w:rPr>
          <w:rFonts w:cs="Times New Roman"/>
          <w:sz w:val="24"/>
          <w:szCs w:val="24"/>
          <w:lang w:val="en-US"/>
        </w:rPr>
        <w:t xml:space="preserve">demonstrated </w:t>
      </w:r>
      <w:r w:rsidRPr="0034426D">
        <w:rPr>
          <w:rFonts w:cs="Times New Roman"/>
          <w:sz w:val="24"/>
          <w:szCs w:val="24"/>
          <w:lang w:val="en-US"/>
        </w:rPr>
        <w:t xml:space="preserve">by </w:t>
      </w:r>
      <w:r w:rsidRPr="0034426D">
        <w:rPr>
          <w:rFonts w:cs="Times New Roman"/>
          <w:i/>
          <w:sz w:val="24"/>
          <w:szCs w:val="24"/>
          <w:lang w:val="en-US"/>
        </w:rPr>
        <w:t>in vivo</w:t>
      </w:r>
      <w:r w:rsidRPr="0034426D">
        <w:rPr>
          <w:rFonts w:cs="Times New Roman"/>
          <w:sz w:val="24"/>
          <w:szCs w:val="24"/>
          <w:lang w:val="en-US"/>
        </w:rPr>
        <w:t xml:space="preserve"> </w:t>
      </w:r>
      <w:r w:rsidR="001D6FDF" w:rsidRPr="0034426D">
        <w:rPr>
          <w:rFonts w:cs="Times New Roman"/>
          <w:sz w:val="24"/>
          <w:szCs w:val="24"/>
          <w:lang w:val="en-US"/>
        </w:rPr>
        <w:t xml:space="preserve">experiments performed </w:t>
      </w:r>
      <w:r w:rsidRPr="0034426D">
        <w:rPr>
          <w:rFonts w:cs="Times New Roman"/>
          <w:sz w:val="24"/>
          <w:szCs w:val="24"/>
          <w:lang w:val="en-US"/>
        </w:rPr>
        <w:t xml:space="preserve">in </w:t>
      </w:r>
      <w:r w:rsidR="001D6FDF" w:rsidRPr="0034426D">
        <w:rPr>
          <w:rFonts w:cs="Times New Roman"/>
          <w:sz w:val="24"/>
          <w:szCs w:val="24"/>
          <w:lang w:val="en-US"/>
        </w:rPr>
        <w:t>mouse model</w:t>
      </w:r>
      <w:r w:rsidRPr="0034426D">
        <w:rPr>
          <w:rFonts w:cs="Times New Roman"/>
          <w:sz w:val="24"/>
          <w:szCs w:val="24"/>
          <w:lang w:val="en-US"/>
        </w:rPr>
        <w:t xml:space="preserve"> </w:t>
      </w:r>
      <w:r w:rsidR="00CC532E" w:rsidRPr="0034426D">
        <w:rPr>
          <w:rFonts w:cs="Times New Roman"/>
          <w:sz w:val="24"/>
          <w:szCs w:val="24"/>
          <w:lang w:val="en-US"/>
        </w:rPr>
        <w:t>[</w:t>
      </w:r>
      <w:r w:rsidR="00336AA9">
        <w:rPr>
          <w:rFonts w:cs="Times New Roman"/>
          <w:sz w:val="24"/>
          <w:szCs w:val="24"/>
          <w:lang w:val="en-US"/>
        </w:rPr>
        <w:t>174</w:t>
      </w:r>
      <w:r w:rsidR="00CC532E" w:rsidRPr="0034426D">
        <w:rPr>
          <w:rFonts w:cs="Times New Roman"/>
          <w:sz w:val="24"/>
          <w:szCs w:val="24"/>
          <w:lang w:val="en-US"/>
        </w:rPr>
        <w:t>]</w:t>
      </w:r>
      <w:r w:rsidRPr="0034426D">
        <w:rPr>
          <w:rFonts w:cs="Times New Roman"/>
          <w:sz w:val="24"/>
          <w:szCs w:val="24"/>
          <w:lang w:val="en-US"/>
        </w:rPr>
        <w:t xml:space="preserve">. </w:t>
      </w:r>
      <w:r w:rsidR="001D6FDF" w:rsidRPr="0034426D">
        <w:rPr>
          <w:rFonts w:cs="Times New Roman"/>
          <w:sz w:val="24"/>
          <w:szCs w:val="24"/>
          <w:lang w:val="en-US"/>
        </w:rPr>
        <w:t>These Authors showed that murine SPIO (or USPIO)-loaded RBCs intravenously injected in the mouse blood system stay</w:t>
      </w:r>
      <w:r w:rsidRPr="0034426D">
        <w:rPr>
          <w:rFonts w:cs="Times New Roman"/>
          <w:sz w:val="24"/>
          <w:szCs w:val="24"/>
          <w:lang w:val="en-US"/>
        </w:rPr>
        <w:t xml:space="preserve"> in circulation longer than the free nano</w:t>
      </w:r>
      <w:r w:rsidR="001D6FDF" w:rsidRPr="0034426D">
        <w:rPr>
          <w:rFonts w:cs="Times New Roman"/>
          <w:sz w:val="24"/>
          <w:szCs w:val="24"/>
          <w:lang w:val="en-US"/>
        </w:rPr>
        <w:t>particle contrast agents</w:t>
      </w:r>
      <w:r w:rsidRPr="0034426D">
        <w:rPr>
          <w:rFonts w:cs="Times New Roman"/>
          <w:sz w:val="24"/>
          <w:szCs w:val="24"/>
          <w:lang w:val="en-US"/>
        </w:rPr>
        <w:t>. In</w:t>
      </w:r>
      <w:r w:rsidR="001D6FDF" w:rsidRPr="0034426D">
        <w:rPr>
          <w:rFonts w:cs="Times New Roman"/>
          <w:sz w:val="24"/>
          <w:szCs w:val="24"/>
          <w:lang w:val="en-US"/>
        </w:rPr>
        <w:t xml:space="preserve"> fact</w:t>
      </w:r>
      <w:r w:rsidRPr="0034426D">
        <w:rPr>
          <w:rFonts w:cs="Times New Roman"/>
          <w:sz w:val="24"/>
          <w:szCs w:val="24"/>
          <w:lang w:val="en-US"/>
        </w:rPr>
        <w:t xml:space="preserve">, the </w:t>
      </w:r>
      <w:r w:rsidR="001D6FDF" w:rsidRPr="0034426D">
        <w:rPr>
          <w:rFonts w:cs="Times New Roman"/>
          <w:sz w:val="24"/>
          <w:szCs w:val="24"/>
          <w:lang w:val="en-US"/>
        </w:rPr>
        <w:t xml:space="preserve">blood retention time of </w:t>
      </w:r>
      <w:r w:rsidRPr="0034426D">
        <w:rPr>
          <w:rFonts w:cs="Times New Roman"/>
          <w:sz w:val="24"/>
          <w:szCs w:val="24"/>
          <w:lang w:val="en-US"/>
        </w:rPr>
        <w:t>murine Resovist®-loaded RBC</w:t>
      </w:r>
      <w:r w:rsidR="001D6FDF" w:rsidRPr="0034426D">
        <w:rPr>
          <w:rFonts w:cs="Times New Roman"/>
          <w:sz w:val="24"/>
          <w:szCs w:val="24"/>
          <w:lang w:val="en-US"/>
        </w:rPr>
        <w:t>s</w:t>
      </w:r>
      <w:r w:rsidRPr="0034426D">
        <w:rPr>
          <w:rFonts w:cs="Times New Roman"/>
          <w:sz w:val="24"/>
          <w:szCs w:val="24"/>
          <w:lang w:val="en-US"/>
        </w:rPr>
        <w:t xml:space="preserve"> is longer (</w:t>
      </w:r>
      <w:r w:rsidRPr="0034426D">
        <w:rPr>
          <w:rFonts w:ascii="Cambria Math" w:hAnsi="Cambria Math" w:cs="Cambria Math"/>
          <w:sz w:val="24"/>
          <w:szCs w:val="24"/>
          <w:lang w:val="en-US"/>
        </w:rPr>
        <w:t>∼</w:t>
      </w:r>
      <w:r w:rsidRPr="0034426D">
        <w:rPr>
          <w:rFonts w:cs="Times New Roman"/>
          <w:sz w:val="24"/>
          <w:szCs w:val="24"/>
          <w:lang w:val="en-US"/>
        </w:rPr>
        <w:t>12 days) than the free Resovist® (</w:t>
      </w:r>
      <w:r w:rsidRPr="0034426D">
        <w:rPr>
          <w:rFonts w:ascii="Cambria Math" w:hAnsi="Cambria Math" w:cs="Cambria Math"/>
          <w:sz w:val="24"/>
          <w:szCs w:val="24"/>
          <w:lang w:val="en-US"/>
        </w:rPr>
        <w:t>∼</w:t>
      </w:r>
      <w:r w:rsidRPr="0034426D">
        <w:rPr>
          <w:rFonts w:cs="Times New Roman"/>
          <w:sz w:val="24"/>
          <w:szCs w:val="24"/>
          <w:lang w:val="en-US"/>
        </w:rPr>
        <w:t xml:space="preserve">1 h) </w:t>
      </w:r>
      <w:r w:rsidR="001D6FDF" w:rsidRPr="0034426D">
        <w:rPr>
          <w:rFonts w:cs="Times New Roman"/>
          <w:sz w:val="24"/>
          <w:szCs w:val="24"/>
          <w:lang w:val="en-US"/>
        </w:rPr>
        <w:t>administered</w:t>
      </w:r>
      <w:r w:rsidRPr="0034426D">
        <w:rPr>
          <w:rFonts w:cs="Times New Roman"/>
          <w:sz w:val="24"/>
          <w:szCs w:val="24"/>
          <w:lang w:val="en-US"/>
        </w:rPr>
        <w:t xml:space="preserve"> at the same iron concentration </w:t>
      </w:r>
      <w:r w:rsidR="00CC532E" w:rsidRPr="0034426D">
        <w:rPr>
          <w:rFonts w:cs="Times New Roman"/>
          <w:sz w:val="24"/>
          <w:szCs w:val="24"/>
          <w:lang w:val="en-US"/>
        </w:rPr>
        <w:t>[</w:t>
      </w:r>
      <w:r w:rsidR="00336AA9">
        <w:rPr>
          <w:rFonts w:cs="Times New Roman"/>
          <w:sz w:val="24"/>
          <w:szCs w:val="24"/>
          <w:lang w:val="en-US"/>
        </w:rPr>
        <w:t>169</w:t>
      </w:r>
      <w:r w:rsidR="000C72B0">
        <w:rPr>
          <w:rFonts w:cs="Times New Roman"/>
          <w:sz w:val="24"/>
          <w:szCs w:val="24"/>
          <w:lang w:val="en-US"/>
        </w:rPr>
        <w:t>,</w:t>
      </w:r>
      <w:r w:rsidR="00336AA9">
        <w:rPr>
          <w:rFonts w:cs="Times New Roman"/>
          <w:sz w:val="24"/>
          <w:szCs w:val="24"/>
          <w:lang w:val="en-US"/>
        </w:rPr>
        <w:t>174</w:t>
      </w:r>
      <w:r w:rsidR="00CC532E" w:rsidRPr="0034426D">
        <w:rPr>
          <w:rFonts w:cs="Times New Roman"/>
          <w:sz w:val="24"/>
          <w:szCs w:val="24"/>
          <w:lang w:val="en-US"/>
        </w:rPr>
        <w:t>]</w:t>
      </w:r>
      <w:r w:rsidRPr="0034426D">
        <w:rPr>
          <w:rFonts w:cs="Times New Roman"/>
          <w:sz w:val="24"/>
          <w:szCs w:val="24"/>
          <w:lang w:val="en-US"/>
        </w:rPr>
        <w:t xml:space="preserve">. The improved </w:t>
      </w:r>
      <w:r w:rsidRPr="0034426D">
        <w:rPr>
          <w:rFonts w:cs="Times New Roman"/>
          <w:i/>
          <w:sz w:val="24"/>
          <w:szCs w:val="24"/>
          <w:lang w:val="en-US"/>
        </w:rPr>
        <w:t>in vivo</w:t>
      </w:r>
      <w:r w:rsidRPr="0034426D">
        <w:rPr>
          <w:rFonts w:cs="Times New Roman"/>
          <w:sz w:val="24"/>
          <w:szCs w:val="24"/>
          <w:lang w:val="en-US"/>
        </w:rPr>
        <w:t xml:space="preserve"> life span </w:t>
      </w:r>
      <w:r w:rsidR="001D6FDF" w:rsidRPr="0034426D">
        <w:rPr>
          <w:rFonts w:cs="Times New Roman"/>
          <w:sz w:val="24"/>
          <w:szCs w:val="24"/>
          <w:lang w:val="en-US"/>
        </w:rPr>
        <w:t>of iron oxide-based contrast agents</w:t>
      </w:r>
      <w:r w:rsidRPr="0034426D">
        <w:rPr>
          <w:rFonts w:cs="Times New Roman"/>
          <w:sz w:val="24"/>
          <w:szCs w:val="24"/>
          <w:lang w:val="en-US"/>
        </w:rPr>
        <w:t xml:space="preserve"> could allow the same patient to be imaged on a number of occasions over time</w:t>
      </w:r>
      <w:r w:rsidR="00812BA5" w:rsidRPr="0034426D">
        <w:rPr>
          <w:rFonts w:cs="Times New Roman"/>
          <w:sz w:val="24"/>
          <w:szCs w:val="24"/>
          <w:lang w:val="en-US"/>
        </w:rPr>
        <w:t xml:space="preserve"> for MRI diagnosis</w:t>
      </w:r>
      <w:r w:rsidRPr="0034426D">
        <w:rPr>
          <w:rFonts w:cs="Times New Roman"/>
          <w:sz w:val="24"/>
          <w:szCs w:val="24"/>
          <w:lang w:val="en-US"/>
        </w:rPr>
        <w:t xml:space="preserve">. </w:t>
      </w:r>
      <w:r w:rsidR="00812BA5" w:rsidRPr="0034426D">
        <w:rPr>
          <w:rFonts w:cs="Times New Roman"/>
          <w:sz w:val="24"/>
          <w:szCs w:val="24"/>
          <w:lang w:val="en-US"/>
        </w:rPr>
        <w:t>Recently</w:t>
      </w:r>
      <w:r w:rsidRPr="0034426D">
        <w:rPr>
          <w:rFonts w:cs="Times New Roman"/>
          <w:sz w:val="24"/>
          <w:szCs w:val="24"/>
          <w:lang w:val="en-US"/>
        </w:rPr>
        <w:t xml:space="preserve">, Antonelli et al. </w:t>
      </w:r>
      <w:r w:rsidR="00CC532E" w:rsidRPr="0034426D">
        <w:rPr>
          <w:rFonts w:cs="Times New Roman"/>
          <w:sz w:val="24"/>
          <w:szCs w:val="24"/>
          <w:lang w:val="en-US"/>
        </w:rPr>
        <w:t>[</w:t>
      </w:r>
      <w:r w:rsidR="00336AA9">
        <w:rPr>
          <w:rFonts w:cs="Times New Roman"/>
          <w:sz w:val="24"/>
          <w:szCs w:val="24"/>
          <w:lang w:val="en-US"/>
        </w:rPr>
        <w:t>175</w:t>
      </w:r>
      <w:r w:rsidR="00CC532E" w:rsidRPr="0034426D">
        <w:rPr>
          <w:rFonts w:cs="Times New Roman"/>
          <w:sz w:val="24"/>
          <w:szCs w:val="24"/>
          <w:lang w:val="en-US"/>
        </w:rPr>
        <w:t>]</w:t>
      </w:r>
      <w:r w:rsidRPr="0034426D">
        <w:rPr>
          <w:rFonts w:cs="Times New Roman"/>
          <w:sz w:val="24"/>
          <w:szCs w:val="24"/>
          <w:lang w:val="en-US"/>
        </w:rPr>
        <w:t xml:space="preserve"> have applied the loading procedure to the P904 contrast agent; this nanomaterial </w:t>
      </w:r>
      <w:r w:rsidR="00812BA5" w:rsidRPr="0034426D">
        <w:rPr>
          <w:rFonts w:cs="Times New Roman"/>
          <w:sz w:val="24"/>
          <w:szCs w:val="24"/>
          <w:lang w:val="en-US"/>
        </w:rPr>
        <w:t>is</w:t>
      </w:r>
      <w:r w:rsidRPr="0034426D">
        <w:rPr>
          <w:rFonts w:cs="Times New Roman"/>
          <w:sz w:val="24"/>
          <w:szCs w:val="24"/>
          <w:lang w:val="en-US"/>
        </w:rPr>
        <w:t xml:space="preserve"> efficiently loaded into human and murine RBCs </w:t>
      </w:r>
      <w:r w:rsidR="00812BA5" w:rsidRPr="0034426D">
        <w:rPr>
          <w:rFonts w:cs="Times New Roman"/>
          <w:sz w:val="24"/>
          <w:szCs w:val="24"/>
          <w:lang w:val="en-US"/>
        </w:rPr>
        <w:t xml:space="preserve">and the amount of iron incorporated in the cells </w:t>
      </w:r>
      <w:r w:rsidRPr="0034426D">
        <w:rPr>
          <w:rFonts w:cs="Times New Roman"/>
          <w:sz w:val="24"/>
          <w:szCs w:val="24"/>
          <w:lang w:val="en-US"/>
        </w:rPr>
        <w:t>rang</w:t>
      </w:r>
      <w:r w:rsidR="00812BA5" w:rsidRPr="0034426D">
        <w:rPr>
          <w:rFonts w:cs="Times New Roman"/>
          <w:sz w:val="24"/>
          <w:szCs w:val="24"/>
          <w:lang w:val="en-US"/>
        </w:rPr>
        <w:t>es</w:t>
      </w:r>
      <w:r w:rsidRPr="0034426D">
        <w:rPr>
          <w:rFonts w:cs="Times New Roman"/>
          <w:sz w:val="24"/>
          <w:szCs w:val="24"/>
          <w:lang w:val="en-US"/>
        </w:rPr>
        <w:t xml:space="preserve"> from 1.5 to 12 mM. Moreover, </w:t>
      </w:r>
      <w:r w:rsidR="00812BA5" w:rsidRPr="0034426D">
        <w:rPr>
          <w:rFonts w:cs="Times New Roman"/>
          <w:sz w:val="24"/>
          <w:szCs w:val="24"/>
          <w:lang w:val="en-US"/>
        </w:rPr>
        <w:t>Boni</w:t>
      </w:r>
      <w:r w:rsidR="00F04F0C" w:rsidRPr="0034426D">
        <w:rPr>
          <w:sz w:val="24"/>
          <w:szCs w:val="24"/>
          <w:lang w:val="en-US"/>
        </w:rPr>
        <w:t xml:space="preserve"> et al. </w:t>
      </w:r>
      <w:r w:rsidR="00812BA5" w:rsidRPr="0034426D">
        <w:rPr>
          <w:rFonts w:cs="Times New Roman"/>
          <w:sz w:val="24"/>
          <w:szCs w:val="24"/>
          <w:lang w:val="en-US"/>
        </w:rPr>
        <w:t xml:space="preserve">have reported </w:t>
      </w:r>
      <w:r w:rsidRPr="0034426D">
        <w:rPr>
          <w:rFonts w:cs="Times New Roman"/>
          <w:sz w:val="24"/>
          <w:szCs w:val="24"/>
          <w:lang w:val="en-US"/>
        </w:rPr>
        <w:t>a relaxometric study</w:t>
      </w:r>
      <w:r w:rsidR="00812BA5" w:rsidRPr="0034426D">
        <w:rPr>
          <w:rFonts w:cs="Times New Roman"/>
          <w:sz w:val="24"/>
          <w:szCs w:val="24"/>
          <w:lang w:val="en-US"/>
        </w:rPr>
        <w:t xml:space="preserve"> on these P904-loaded RBCs</w:t>
      </w:r>
      <w:r w:rsidRPr="0034426D">
        <w:rPr>
          <w:rFonts w:cs="Times New Roman"/>
          <w:sz w:val="24"/>
          <w:szCs w:val="24"/>
          <w:lang w:val="en-US"/>
        </w:rPr>
        <w:t xml:space="preserve">, </w:t>
      </w:r>
      <w:r w:rsidR="00812BA5" w:rsidRPr="0034426D">
        <w:rPr>
          <w:rFonts w:cs="Times New Roman"/>
          <w:sz w:val="24"/>
          <w:szCs w:val="24"/>
          <w:lang w:val="en-US"/>
        </w:rPr>
        <w:t>comparing the</w:t>
      </w:r>
      <w:r w:rsidRPr="0034426D">
        <w:rPr>
          <w:rFonts w:cs="Times New Roman"/>
          <w:sz w:val="24"/>
          <w:szCs w:val="24"/>
          <w:lang w:val="en-US"/>
        </w:rPr>
        <w:t xml:space="preserve"> longitudinal (r1) and transverse (r2) relaxivity </w:t>
      </w:r>
      <w:r w:rsidR="00812BA5" w:rsidRPr="0034426D">
        <w:rPr>
          <w:rFonts w:cs="Times New Roman"/>
          <w:sz w:val="24"/>
          <w:szCs w:val="24"/>
          <w:lang w:val="en-US"/>
        </w:rPr>
        <w:t xml:space="preserve">of these constructs, </w:t>
      </w:r>
      <w:r w:rsidRPr="0034426D">
        <w:rPr>
          <w:rFonts w:cs="Times New Roman"/>
          <w:sz w:val="24"/>
          <w:szCs w:val="24"/>
          <w:lang w:val="en-US"/>
        </w:rPr>
        <w:t>over a wide range of Larmor frequencies (0.01–300 MHz)</w:t>
      </w:r>
      <w:r w:rsidR="00812BA5" w:rsidRPr="0034426D">
        <w:rPr>
          <w:rFonts w:cs="Times New Roman"/>
          <w:sz w:val="24"/>
          <w:szCs w:val="24"/>
          <w:lang w:val="en-US"/>
        </w:rPr>
        <w:t>, with</w:t>
      </w:r>
      <w:r w:rsidRPr="0034426D">
        <w:rPr>
          <w:rFonts w:cs="Times New Roman"/>
          <w:sz w:val="24"/>
          <w:szCs w:val="24"/>
          <w:lang w:val="en-US"/>
        </w:rPr>
        <w:t xml:space="preserve"> control samples </w:t>
      </w:r>
      <w:r w:rsidR="00812BA5" w:rsidRPr="0034426D">
        <w:rPr>
          <w:rFonts w:cs="Times New Roman"/>
          <w:sz w:val="24"/>
          <w:szCs w:val="24"/>
          <w:lang w:val="en-US"/>
        </w:rPr>
        <w:t>of</w:t>
      </w:r>
      <w:r w:rsidRPr="0034426D">
        <w:rPr>
          <w:rFonts w:cs="Times New Roman"/>
          <w:sz w:val="24"/>
          <w:szCs w:val="24"/>
          <w:lang w:val="en-US"/>
        </w:rPr>
        <w:t xml:space="preserve"> P904 nanoparticles dispersed in blood </w:t>
      </w:r>
      <w:r w:rsidR="00CC532E" w:rsidRPr="0034426D">
        <w:rPr>
          <w:rFonts w:cs="Times New Roman"/>
          <w:sz w:val="24"/>
          <w:szCs w:val="24"/>
          <w:lang w:val="en-US"/>
        </w:rPr>
        <w:t>[</w:t>
      </w:r>
      <w:r w:rsidR="00336AA9">
        <w:rPr>
          <w:rFonts w:cs="Times New Roman"/>
          <w:sz w:val="24"/>
          <w:szCs w:val="24"/>
          <w:lang w:val="en-US"/>
        </w:rPr>
        <w:t>176</w:t>
      </w:r>
      <w:r w:rsidR="00CC532E" w:rsidRPr="0034426D">
        <w:rPr>
          <w:rFonts w:cs="Times New Roman"/>
          <w:sz w:val="24"/>
          <w:szCs w:val="24"/>
          <w:lang w:val="en-US"/>
        </w:rPr>
        <w:t>].</w:t>
      </w:r>
      <w:r w:rsidRPr="0034426D">
        <w:rPr>
          <w:rFonts w:cs="Times New Roman"/>
          <w:sz w:val="24"/>
          <w:szCs w:val="24"/>
          <w:lang w:val="en-US"/>
        </w:rPr>
        <w:t xml:space="preserve"> High r2 relaxivity together with a high r2/r1 ratio and a very long blood half-life make P904-loaded RBCs a promising blood-pool negative contrast agent for MR diagnostic applications. </w:t>
      </w:r>
      <w:r w:rsidR="00812BA5" w:rsidRPr="0034426D">
        <w:rPr>
          <w:rFonts w:cs="Times New Roman"/>
          <w:sz w:val="24"/>
          <w:szCs w:val="24"/>
          <w:lang w:val="en-US"/>
        </w:rPr>
        <w:t>When encapsulated into RBCs,</w:t>
      </w:r>
      <w:r w:rsidR="00812BA5" w:rsidRPr="0034426D">
        <w:rPr>
          <w:rFonts w:cs="Times New Roman"/>
          <w:i/>
          <w:sz w:val="24"/>
          <w:szCs w:val="24"/>
          <w:lang w:val="en-US"/>
        </w:rPr>
        <w:t xml:space="preserve"> </w:t>
      </w:r>
      <w:r w:rsidR="00812BA5" w:rsidRPr="0034426D">
        <w:rPr>
          <w:rFonts w:cs="Times New Roman"/>
          <w:sz w:val="24"/>
          <w:szCs w:val="24"/>
          <w:lang w:val="en-US"/>
        </w:rPr>
        <w:t xml:space="preserve">P904 contrast agent </w:t>
      </w:r>
      <w:r w:rsidRPr="0034426D">
        <w:rPr>
          <w:rFonts w:cs="Times New Roman"/>
          <w:sz w:val="24"/>
          <w:szCs w:val="24"/>
          <w:lang w:val="en-US"/>
        </w:rPr>
        <w:t xml:space="preserve">showed a higher survival in the </w:t>
      </w:r>
      <w:r w:rsidR="00812BA5" w:rsidRPr="0034426D">
        <w:rPr>
          <w:rFonts w:cs="Times New Roman"/>
          <w:sz w:val="24"/>
          <w:szCs w:val="24"/>
          <w:lang w:val="en-US"/>
        </w:rPr>
        <w:t xml:space="preserve">mouse </w:t>
      </w:r>
      <w:r w:rsidRPr="0034426D">
        <w:rPr>
          <w:rFonts w:cs="Times New Roman"/>
          <w:sz w:val="24"/>
          <w:szCs w:val="24"/>
          <w:lang w:val="en-US"/>
        </w:rPr>
        <w:t xml:space="preserve">blood </w:t>
      </w:r>
      <w:r w:rsidR="00812BA5" w:rsidRPr="0034426D">
        <w:rPr>
          <w:rFonts w:cs="Times New Roman"/>
          <w:sz w:val="24"/>
          <w:szCs w:val="24"/>
          <w:lang w:val="en-US"/>
        </w:rPr>
        <w:lastRenderedPageBreak/>
        <w:t>circulation</w:t>
      </w:r>
      <w:r w:rsidRPr="0034426D">
        <w:rPr>
          <w:rFonts w:cs="Times New Roman"/>
          <w:sz w:val="24"/>
          <w:szCs w:val="24"/>
          <w:lang w:val="en-US"/>
        </w:rPr>
        <w:t xml:space="preserve"> </w:t>
      </w:r>
      <w:r w:rsidR="00812BA5" w:rsidRPr="0034426D">
        <w:rPr>
          <w:rFonts w:cs="Times New Roman"/>
          <w:sz w:val="24"/>
          <w:szCs w:val="24"/>
          <w:lang w:val="en-US"/>
        </w:rPr>
        <w:t xml:space="preserve">than the </w:t>
      </w:r>
      <w:r w:rsidRPr="0034426D">
        <w:rPr>
          <w:rFonts w:cs="Times New Roman"/>
          <w:sz w:val="24"/>
          <w:szCs w:val="24"/>
          <w:lang w:val="en-US"/>
        </w:rPr>
        <w:t>free</w:t>
      </w:r>
      <w:r w:rsidR="00812BA5" w:rsidRPr="0034426D">
        <w:rPr>
          <w:rFonts w:cs="Times New Roman"/>
          <w:sz w:val="24"/>
          <w:szCs w:val="24"/>
          <w:lang w:val="en-US"/>
        </w:rPr>
        <w:t xml:space="preserve"> </w:t>
      </w:r>
      <w:r w:rsidRPr="0034426D">
        <w:rPr>
          <w:rFonts w:cs="Times New Roman"/>
          <w:sz w:val="24"/>
          <w:szCs w:val="24"/>
          <w:lang w:val="en-US"/>
        </w:rPr>
        <w:t>P904</w:t>
      </w:r>
      <w:r w:rsidR="00607FD7" w:rsidRPr="0034426D">
        <w:rPr>
          <w:rFonts w:cs="Times New Roman"/>
          <w:sz w:val="24"/>
          <w:szCs w:val="24"/>
          <w:lang w:val="en-US"/>
        </w:rPr>
        <w:t>; t</w:t>
      </w:r>
      <w:r w:rsidRPr="0034426D">
        <w:rPr>
          <w:rFonts w:cs="Times New Roman"/>
          <w:sz w:val="24"/>
          <w:szCs w:val="24"/>
          <w:lang w:val="en-US"/>
        </w:rPr>
        <w:t xml:space="preserve">he half-life </w:t>
      </w:r>
      <w:r w:rsidR="00607FD7" w:rsidRPr="0034426D">
        <w:rPr>
          <w:rFonts w:cs="Times New Roman"/>
          <w:sz w:val="24"/>
          <w:szCs w:val="24"/>
          <w:lang w:val="en-US"/>
        </w:rPr>
        <w:t xml:space="preserve">is </w:t>
      </w:r>
      <w:r w:rsidRPr="0034426D">
        <w:rPr>
          <w:rFonts w:cs="Times New Roman"/>
          <w:sz w:val="24"/>
          <w:szCs w:val="24"/>
          <w:lang w:val="en-US"/>
        </w:rPr>
        <w:t xml:space="preserve">&gt;72 h </w:t>
      </w:r>
      <w:r w:rsidR="00607FD7" w:rsidRPr="0034426D">
        <w:rPr>
          <w:rFonts w:cs="Times New Roman"/>
          <w:sz w:val="24"/>
          <w:szCs w:val="24"/>
          <w:lang w:val="en-US"/>
        </w:rPr>
        <w:t xml:space="preserve">for </w:t>
      </w:r>
      <w:r w:rsidRPr="0034426D">
        <w:rPr>
          <w:rFonts w:cs="Times New Roman"/>
          <w:sz w:val="24"/>
          <w:szCs w:val="24"/>
          <w:lang w:val="en-US"/>
        </w:rPr>
        <w:t xml:space="preserve">P904-loaded RBCs </w:t>
      </w:r>
      <w:r w:rsidR="00607FD7" w:rsidRPr="0034426D">
        <w:rPr>
          <w:rFonts w:cs="Times New Roman"/>
          <w:sz w:val="24"/>
          <w:szCs w:val="24"/>
          <w:lang w:val="en-US"/>
        </w:rPr>
        <w:t>and</w:t>
      </w:r>
      <w:r w:rsidRPr="0034426D">
        <w:rPr>
          <w:rFonts w:cs="Times New Roman"/>
          <w:sz w:val="24"/>
          <w:szCs w:val="24"/>
          <w:lang w:val="en-US"/>
        </w:rPr>
        <w:t xml:space="preserve"> &lt;2 h </w:t>
      </w:r>
      <w:r w:rsidR="00607FD7" w:rsidRPr="0034426D">
        <w:rPr>
          <w:rFonts w:cs="Times New Roman"/>
          <w:sz w:val="24"/>
          <w:szCs w:val="24"/>
          <w:lang w:val="en-US"/>
        </w:rPr>
        <w:t>for the</w:t>
      </w:r>
      <w:r w:rsidRPr="0034426D">
        <w:rPr>
          <w:rFonts w:cs="Times New Roman"/>
          <w:sz w:val="24"/>
          <w:szCs w:val="24"/>
          <w:lang w:val="en-US"/>
        </w:rPr>
        <w:t xml:space="preserve"> P904 free suspension. </w:t>
      </w:r>
      <w:r w:rsidR="00607FD7" w:rsidRPr="0034426D">
        <w:rPr>
          <w:rFonts w:cs="Times New Roman"/>
          <w:sz w:val="24"/>
          <w:szCs w:val="24"/>
          <w:lang w:val="en-US"/>
        </w:rPr>
        <w:t>Further</w:t>
      </w:r>
      <w:r w:rsidRPr="0034426D">
        <w:rPr>
          <w:rFonts w:cs="Times New Roman"/>
          <w:sz w:val="24"/>
          <w:szCs w:val="24"/>
          <w:lang w:val="en-US"/>
        </w:rPr>
        <w:t xml:space="preserve">, the presence of P904-loaded RBCs in </w:t>
      </w:r>
      <w:r w:rsidR="00607FD7" w:rsidRPr="0034426D">
        <w:rPr>
          <w:rFonts w:cs="Times New Roman"/>
          <w:sz w:val="24"/>
          <w:szCs w:val="24"/>
          <w:lang w:val="en-US"/>
        </w:rPr>
        <w:t xml:space="preserve">mouse circulation </w:t>
      </w:r>
      <w:r w:rsidRPr="0034426D">
        <w:rPr>
          <w:rFonts w:cs="Times New Roman"/>
          <w:sz w:val="24"/>
          <w:szCs w:val="24"/>
          <w:lang w:val="en-US"/>
        </w:rPr>
        <w:t xml:space="preserve">is </w:t>
      </w:r>
      <w:r w:rsidR="00607FD7" w:rsidRPr="0034426D">
        <w:rPr>
          <w:rFonts w:cs="Times New Roman"/>
          <w:sz w:val="24"/>
          <w:szCs w:val="24"/>
          <w:lang w:val="en-US"/>
        </w:rPr>
        <w:t xml:space="preserve">still </w:t>
      </w:r>
      <w:r w:rsidRPr="0034426D">
        <w:rPr>
          <w:rFonts w:cs="Times New Roman"/>
          <w:sz w:val="24"/>
          <w:szCs w:val="24"/>
          <w:lang w:val="en-US"/>
        </w:rPr>
        <w:t xml:space="preserve">evident </w:t>
      </w:r>
      <w:r w:rsidR="00607FD7" w:rsidRPr="0034426D">
        <w:rPr>
          <w:rFonts w:cs="Times New Roman"/>
          <w:sz w:val="24"/>
          <w:szCs w:val="24"/>
          <w:lang w:val="en-US"/>
        </w:rPr>
        <w:t xml:space="preserve">after </w:t>
      </w:r>
      <w:r w:rsidRPr="0034426D">
        <w:rPr>
          <w:rFonts w:cs="Times New Roman"/>
          <w:sz w:val="24"/>
          <w:szCs w:val="24"/>
          <w:lang w:val="en-US"/>
        </w:rPr>
        <w:t xml:space="preserve">1 month </w:t>
      </w:r>
      <w:r w:rsidR="00607FD7" w:rsidRPr="0034426D">
        <w:rPr>
          <w:rFonts w:cs="Times New Roman"/>
          <w:sz w:val="24"/>
          <w:szCs w:val="24"/>
          <w:lang w:val="en-US"/>
        </w:rPr>
        <w:t xml:space="preserve">from their injection, </w:t>
      </w:r>
      <w:r w:rsidRPr="0034426D">
        <w:rPr>
          <w:rFonts w:cs="Times New Roman"/>
          <w:sz w:val="24"/>
          <w:szCs w:val="24"/>
          <w:lang w:val="en-US"/>
        </w:rPr>
        <w:t>when T1 value return</w:t>
      </w:r>
      <w:r w:rsidR="00607FD7" w:rsidRPr="0034426D">
        <w:rPr>
          <w:rFonts w:cs="Times New Roman"/>
          <w:sz w:val="24"/>
          <w:szCs w:val="24"/>
          <w:lang w:val="en-US"/>
        </w:rPr>
        <w:t>ed</w:t>
      </w:r>
      <w:r w:rsidRPr="0034426D">
        <w:rPr>
          <w:rFonts w:cs="Times New Roman"/>
          <w:sz w:val="24"/>
          <w:szCs w:val="24"/>
          <w:lang w:val="en-US"/>
        </w:rPr>
        <w:t xml:space="preserve"> to control values, while an equivalent amount of free P904 suspension injected in mice disappeared from circulation within few hours </w:t>
      </w:r>
      <w:r w:rsidR="00CC532E" w:rsidRPr="0034426D">
        <w:rPr>
          <w:rFonts w:cs="Times New Roman"/>
          <w:sz w:val="24"/>
          <w:szCs w:val="24"/>
          <w:lang w:val="en-US"/>
        </w:rPr>
        <w:t>[</w:t>
      </w:r>
      <w:r w:rsidR="00336AA9">
        <w:rPr>
          <w:rFonts w:cs="Times New Roman"/>
          <w:sz w:val="24"/>
          <w:szCs w:val="24"/>
          <w:lang w:val="en-US"/>
        </w:rPr>
        <w:t>175</w:t>
      </w:r>
      <w:r w:rsidR="00CC532E" w:rsidRPr="0034426D">
        <w:rPr>
          <w:rFonts w:cs="Times New Roman"/>
          <w:sz w:val="24"/>
          <w:szCs w:val="24"/>
          <w:lang w:val="en-US"/>
        </w:rPr>
        <w:t>]</w:t>
      </w:r>
      <w:r w:rsidRPr="0034426D">
        <w:rPr>
          <w:rFonts w:cs="Times New Roman"/>
          <w:sz w:val="24"/>
          <w:szCs w:val="24"/>
          <w:lang w:val="en-US"/>
        </w:rPr>
        <w:t xml:space="preserve">. The </w:t>
      </w:r>
      <w:r w:rsidR="00607FD7" w:rsidRPr="0034426D">
        <w:rPr>
          <w:rFonts w:cs="Times New Roman"/>
          <w:sz w:val="24"/>
          <w:szCs w:val="24"/>
          <w:lang w:val="en-US"/>
        </w:rPr>
        <w:t>use</w:t>
      </w:r>
      <w:r w:rsidRPr="0034426D">
        <w:rPr>
          <w:rFonts w:cs="Times New Roman"/>
          <w:sz w:val="24"/>
          <w:szCs w:val="24"/>
          <w:lang w:val="en-US"/>
        </w:rPr>
        <w:t xml:space="preserve"> of SPIO-RBCs constructs could provide superior performance of </w:t>
      </w:r>
      <w:r w:rsidR="00607FD7" w:rsidRPr="0034426D">
        <w:rPr>
          <w:rFonts w:cs="Times New Roman"/>
          <w:sz w:val="24"/>
          <w:szCs w:val="24"/>
          <w:lang w:val="en-US"/>
        </w:rPr>
        <w:t>diagnostic modalities</w:t>
      </w:r>
      <w:r w:rsidRPr="0034426D">
        <w:rPr>
          <w:rFonts w:cs="Times New Roman"/>
          <w:sz w:val="24"/>
          <w:szCs w:val="24"/>
          <w:lang w:val="en-US"/>
        </w:rPr>
        <w:t xml:space="preserve"> such as MRI or multimodality imaging</w:t>
      </w:r>
      <w:r w:rsidR="00607FD7" w:rsidRPr="0034426D">
        <w:rPr>
          <w:rFonts w:cs="Times New Roman"/>
          <w:sz w:val="24"/>
          <w:szCs w:val="24"/>
          <w:lang w:val="en-US"/>
        </w:rPr>
        <w:t xml:space="preserve"> techniques</w:t>
      </w:r>
      <w:r w:rsidRPr="0034426D">
        <w:rPr>
          <w:rFonts w:cs="Times New Roman"/>
          <w:sz w:val="24"/>
          <w:szCs w:val="24"/>
          <w:lang w:val="en-US"/>
        </w:rPr>
        <w:t xml:space="preserve">, but </w:t>
      </w:r>
      <w:r w:rsidR="00607FD7" w:rsidRPr="0034426D">
        <w:rPr>
          <w:rFonts w:cs="Times New Roman"/>
          <w:sz w:val="24"/>
          <w:szCs w:val="24"/>
          <w:lang w:val="en-US"/>
        </w:rPr>
        <w:t xml:space="preserve">in the next future, </w:t>
      </w:r>
      <w:r w:rsidRPr="0034426D">
        <w:rPr>
          <w:rFonts w:cs="Times New Roman"/>
          <w:sz w:val="24"/>
          <w:szCs w:val="24"/>
          <w:lang w:val="en-US"/>
        </w:rPr>
        <w:t xml:space="preserve">they could also </w:t>
      </w:r>
      <w:r w:rsidR="00607FD7" w:rsidRPr="0034426D">
        <w:rPr>
          <w:rFonts w:cs="Times New Roman"/>
          <w:sz w:val="24"/>
          <w:szCs w:val="24"/>
          <w:lang w:val="en-US"/>
        </w:rPr>
        <w:t xml:space="preserve">be </w:t>
      </w:r>
      <w:r w:rsidRPr="0034426D">
        <w:rPr>
          <w:rFonts w:cs="Times New Roman"/>
          <w:sz w:val="24"/>
          <w:szCs w:val="24"/>
          <w:lang w:val="en-US"/>
        </w:rPr>
        <w:t>useful in Magnetic Particle Imaging (MPI)</w:t>
      </w:r>
      <w:r w:rsidR="00607FD7" w:rsidRPr="0034426D">
        <w:rPr>
          <w:rFonts w:cs="Times New Roman"/>
          <w:sz w:val="24"/>
          <w:szCs w:val="24"/>
          <w:lang w:val="en-US"/>
        </w:rPr>
        <w:t>,</w:t>
      </w:r>
      <w:r w:rsidRPr="0034426D">
        <w:rPr>
          <w:rFonts w:cs="Times New Roman"/>
          <w:sz w:val="24"/>
          <w:szCs w:val="24"/>
          <w:lang w:val="en-US"/>
        </w:rPr>
        <w:t xml:space="preserve"> a novel </w:t>
      </w:r>
      <w:r w:rsidR="00607FD7" w:rsidRPr="0034426D">
        <w:rPr>
          <w:rFonts w:cs="Times New Roman"/>
          <w:sz w:val="24"/>
          <w:szCs w:val="24"/>
          <w:lang w:val="en-US"/>
        </w:rPr>
        <w:t xml:space="preserve">3D </w:t>
      </w:r>
      <w:r w:rsidRPr="0034426D">
        <w:rPr>
          <w:rFonts w:cs="Times New Roman"/>
          <w:sz w:val="24"/>
          <w:szCs w:val="24"/>
          <w:lang w:val="en-US"/>
        </w:rPr>
        <w:t xml:space="preserve">real-time imaging </w:t>
      </w:r>
      <w:r w:rsidR="00607FD7" w:rsidRPr="0034426D">
        <w:rPr>
          <w:rFonts w:cs="Times New Roman"/>
          <w:sz w:val="24"/>
          <w:szCs w:val="24"/>
          <w:lang w:val="en-US"/>
        </w:rPr>
        <w:t xml:space="preserve">methodology </w:t>
      </w:r>
      <w:r w:rsidRPr="0034426D">
        <w:rPr>
          <w:rFonts w:cs="Times New Roman"/>
          <w:sz w:val="24"/>
          <w:szCs w:val="24"/>
          <w:lang w:val="en-US"/>
        </w:rPr>
        <w:t xml:space="preserve">introduced by Philips </w:t>
      </w:r>
      <w:r w:rsidR="00CC532E" w:rsidRPr="0034426D">
        <w:rPr>
          <w:rFonts w:cs="Times New Roman"/>
          <w:sz w:val="24"/>
          <w:szCs w:val="24"/>
          <w:lang w:val="en-US"/>
        </w:rPr>
        <w:t>[</w:t>
      </w:r>
      <w:r w:rsidR="00336AA9">
        <w:rPr>
          <w:rFonts w:cs="Times New Roman"/>
          <w:sz w:val="24"/>
          <w:szCs w:val="24"/>
          <w:lang w:val="en-US"/>
        </w:rPr>
        <w:t>177</w:t>
      </w:r>
      <w:r w:rsidR="00CC532E" w:rsidRPr="0034426D">
        <w:rPr>
          <w:rFonts w:cs="Times New Roman"/>
          <w:sz w:val="24"/>
          <w:szCs w:val="24"/>
          <w:lang w:val="en-US"/>
        </w:rPr>
        <w:t>]</w:t>
      </w:r>
      <w:r w:rsidRPr="0034426D">
        <w:rPr>
          <w:rFonts w:cs="Times New Roman"/>
          <w:sz w:val="24"/>
          <w:szCs w:val="24"/>
          <w:lang w:val="en-US"/>
        </w:rPr>
        <w:t xml:space="preserve">. </w:t>
      </w:r>
      <w:r w:rsidR="00607FD7" w:rsidRPr="0034426D">
        <w:rPr>
          <w:rFonts w:cs="Times New Roman"/>
          <w:sz w:val="24"/>
          <w:szCs w:val="24"/>
          <w:lang w:val="en-US"/>
        </w:rPr>
        <w:t>MPI</w:t>
      </w:r>
      <w:r w:rsidRPr="0034426D">
        <w:rPr>
          <w:rFonts w:cs="Times New Roman"/>
          <w:sz w:val="24"/>
          <w:szCs w:val="24"/>
          <w:lang w:val="en-US"/>
        </w:rPr>
        <w:t xml:space="preserve"> is different from MRI since it is able to </w:t>
      </w:r>
      <w:r w:rsidR="00607FD7" w:rsidRPr="0034426D">
        <w:rPr>
          <w:rFonts w:cs="Times New Roman"/>
          <w:sz w:val="24"/>
          <w:szCs w:val="24"/>
          <w:lang w:val="en-US"/>
        </w:rPr>
        <w:t>both</w:t>
      </w:r>
      <w:r w:rsidRPr="0034426D">
        <w:rPr>
          <w:rFonts w:cs="Times New Roman"/>
          <w:sz w:val="24"/>
          <w:szCs w:val="24"/>
          <w:lang w:val="en-US"/>
        </w:rPr>
        <w:t xml:space="preserve"> directly visualize magnetic particles and </w:t>
      </w:r>
      <w:r w:rsidR="002D5E97" w:rsidRPr="0034426D">
        <w:rPr>
          <w:rFonts w:cs="Times New Roman"/>
          <w:sz w:val="24"/>
          <w:szCs w:val="24"/>
          <w:lang w:val="en-US"/>
        </w:rPr>
        <w:t xml:space="preserve">to </w:t>
      </w:r>
      <w:r w:rsidRPr="0034426D">
        <w:rPr>
          <w:rFonts w:cs="Times New Roman"/>
          <w:sz w:val="24"/>
          <w:szCs w:val="24"/>
          <w:lang w:val="en-US"/>
        </w:rPr>
        <w:t>quanti</w:t>
      </w:r>
      <w:r w:rsidR="00607FD7" w:rsidRPr="0034426D">
        <w:rPr>
          <w:rFonts w:cs="Times New Roman"/>
          <w:sz w:val="24"/>
          <w:szCs w:val="24"/>
          <w:lang w:val="en-US"/>
        </w:rPr>
        <w:t xml:space="preserve">ze </w:t>
      </w:r>
      <w:r w:rsidRPr="0034426D">
        <w:rPr>
          <w:rFonts w:cs="Times New Roman"/>
          <w:sz w:val="24"/>
          <w:szCs w:val="24"/>
          <w:lang w:val="en-US"/>
        </w:rPr>
        <w:t xml:space="preserve">iron oxide concentration </w:t>
      </w:r>
      <w:r w:rsidR="00607FD7" w:rsidRPr="0034426D">
        <w:rPr>
          <w:rFonts w:cs="Times New Roman"/>
          <w:sz w:val="24"/>
          <w:szCs w:val="24"/>
          <w:lang w:val="en-US"/>
        </w:rPr>
        <w:t xml:space="preserve">rather than their effect on proton relaxation, that is the basis of MRI detection </w:t>
      </w:r>
      <w:r w:rsidR="007D7B2C" w:rsidRPr="0034426D">
        <w:rPr>
          <w:rFonts w:cs="Times New Roman"/>
          <w:sz w:val="24"/>
          <w:szCs w:val="24"/>
          <w:lang w:val="en-US"/>
        </w:rPr>
        <w:t>[</w:t>
      </w:r>
      <w:r w:rsidR="00336AA9">
        <w:rPr>
          <w:rFonts w:cs="Times New Roman"/>
          <w:sz w:val="24"/>
          <w:szCs w:val="24"/>
          <w:lang w:val="en-US"/>
        </w:rPr>
        <w:t>178</w:t>
      </w:r>
      <w:r w:rsidR="000C72B0">
        <w:rPr>
          <w:rFonts w:cs="Times New Roman"/>
          <w:sz w:val="24"/>
          <w:szCs w:val="24"/>
          <w:lang w:val="en-US"/>
        </w:rPr>
        <w:t>,</w:t>
      </w:r>
      <w:r w:rsidR="00336AA9">
        <w:rPr>
          <w:rFonts w:cs="Times New Roman"/>
          <w:sz w:val="24"/>
          <w:szCs w:val="24"/>
          <w:lang w:val="en-US"/>
        </w:rPr>
        <w:t>179</w:t>
      </w:r>
      <w:r w:rsidR="007D7B2C" w:rsidRPr="0034426D">
        <w:rPr>
          <w:rFonts w:cs="Times New Roman"/>
          <w:sz w:val="24"/>
          <w:szCs w:val="24"/>
          <w:lang w:val="en-US"/>
        </w:rPr>
        <w:t>]</w:t>
      </w:r>
      <w:r w:rsidRPr="0034426D">
        <w:rPr>
          <w:rFonts w:cs="Times New Roman"/>
          <w:sz w:val="24"/>
          <w:szCs w:val="24"/>
          <w:lang w:val="en-US"/>
        </w:rPr>
        <w:t xml:space="preserve">. </w:t>
      </w:r>
      <w:r w:rsidR="00607FD7" w:rsidRPr="0034426D">
        <w:rPr>
          <w:rFonts w:cs="Times New Roman"/>
          <w:sz w:val="24"/>
          <w:szCs w:val="24"/>
          <w:lang w:val="en-US"/>
        </w:rPr>
        <w:t>Unfortunately, the c</w:t>
      </w:r>
      <w:r w:rsidRPr="0034426D">
        <w:rPr>
          <w:rFonts w:cs="Times New Roman"/>
          <w:sz w:val="24"/>
          <w:szCs w:val="24"/>
          <w:lang w:val="en-US"/>
        </w:rPr>
        <w:t xml:space="preserve">ommercially available </w:t>
      </w:r>
      <w:r w:rsidR="00607FD7" w:rsidRPr="0034426D">
        <w:rPr>
          <w:rFonts w:cs="Times New Roman"/>
          <w:sz w:val="24"/>
          <w:szCs w:val="24"/>
          <w:lang w:val="en-US"/>
        </w:rPr>
        <w:t xml:space="preserve">iron </w:t>
      </w:r>
      <w:r w:rsidRPr="0034426D">
        <w:rPr>
          <w:rFonts w:cs="Times New Roman"/>
          <w:sz w:val="24"/>
          <w:szCs w:val="24"/>
          <w:lang w:val="en-US"/>
        </w:rPr>
        <w:t xml:space="preserve">contrast agents that </w:t>
      </w:r>
      <w:r w:rsidR="00073388" w:rsidRPr="0034426D">
        <w:rPr>
          <w:rFonts w:cs="Times New Roman"/>
          <w:sz w:val="24"/>
          <w:szCs w:val="24"/>
          <w:lang w:val="en-US"/>
        </w:rPr>
        <w:t>are</w:t>
      </w:r>
      <w:r w:rsidRPr="0034426D">
        <w:rPr>
          <w:rFonts w:cs="Times New Roman"/>
          <w:sz w:val="24"/>
          <w:szCs w:val="24"/>
          <w:lang w:val="en-US"/>
        </w:rPr>
        <w:t xml:space="preserve"> currently being employed for MPI studies are not optimized</w:t>
      </w:r>
      <w:r w:rsidR="002D5E97" w:rsidRPr="0034426D">
        <w:rPr>
          <w:rFonts w:cs="Times New Roman"/>
          <w:sz w:val="24"/>
          <w:szCs w:val="24"/>
          <w:lang w:val="en-US"/>
        </w:rPr>
        <w:t>,</w:t>
      </w:r>
      <w:r w:rsidRPr="0034426D">
        <w:rPr>
          <w:rFonts w:cs="Times New Roman"/>
          <w:sz w:val="24"/>
          <w:szCs w:val="24"/>
          <w:lang w:val="en-US"/>
        </w:rPr>
        <w:t xml:space="preserve"> and th</w:t>
      </w:r>
      <w:r w:rsidR="00073388" w:rsidRPr="0034426D">
        <w:rPr>
          <w:rFonts w:cs="Times New Roman"/>
          <w:sz w:val="24"/>
          <w:szCs w:val="24"/>
          <w:lang w:val="en-US"/>
        </w:rPr>
        <w:t>is</w:t>
      </w:r>
      <w:r w:rsidRPr="0034426D">
        <w:rPr>
          <w:rFonts w:cs="Times New Roman"/>
          <w:sz w:val="24"/>
          <w:szCs w:val="24"/>
          <w:lang w:val="en-US"/>
        </w:rPr>
        <w:t xml:space="preserve"> prevent</w:t>
      </w:r>
      <w:r w:rsidR="00073388" w:rsidRPr="0034426D">
        <w:rPr>
          <w:rFonts w:cs="Times New Roman"/>
          <w:sz w:val="24"/>
          <w:szCs w:val="24"/>
          <w:lang w:val="en-US"/>
        </w:rPr>
        <w:t>s</w:t>
      </w:r>
      <w:r w:rsidRPr="0034426D">
        <w:rPr>
          <w:rFonts w:cs="Times New Roman"/>
          <w:sz w:val="24"/>
          <w:szCs w:val="24"/>
          <w:lang w:val="en-US"/>
        </w:rPr>
        <w:t xml:space="preserve"> current MPI studies from reaching optimal resolution and sensitivity. </w:t>
      </w:r>
      <w:r w:rsidR="00073388" w:rsidRPr="0034426D">
        <w:rPr>
          <w:rFonts w:cs="Times New Roman"/>
          <w:sz w:val="24"/>
          <w:szCs w:val="24"/>
          <w:lang w:val="en-US"/>
        </w:rPr>
        <w:t>For example</w:t>
      </w:r>
      <w:r w:rsidRPr="0034426D">
        <w:rPr>
          <w:rFonts w:cs="Times New Roman"/>
          <w:sz w:val="24"/>
          <w:szCs w:val="24"/>
          <w:lang w:val="en-US"/>
        </w:rPr>
        <w:t xml:space="preserve">, it was estimated that only </w:t>
      </w:r>
      <w:r w:rsidRPr="0034426D">
        <w:rPr>
          <w:rFonts w:ascii="Cambria Math" w:hAnsi="Cambria Math" w:cs="Cambria Math"/>
          <w:sz w:val="24"/>
          <w:szCs w:val="24"/>
          <w:lang w:val="en-US"/>
        </w:rPr>
        <w:t>∼</w:t>
      </w:r>
      <w:r w:rsidRPr="0034426D">
        <w:rPr>
          <w:rFonts w:cs="Times New Roman"/>
          <w:sz w:val="24"/>
          <w:szCs w:val="24"/>
          <w:lang w:val="en-US"/>
        </w:rPr>
        <w:t xml:space="preserve">3% particles in Resovist® colloidal suspension exhibits </w:t>
      </w:r>
      <w:r w:rsidR="00073388" w:rsidRPr="0034426D">
        <w:rPr>
          <w:rFonts w:cs="Times New Roman"/>
          <w:sz w:val="24"/>
          <w:szCs w:val="24"/>
          <w:lang w:val="en-US"/>
        </w:rPr>
        <w:t>a</w:t>
      </w:r>
      <w:r w:rsidR="002D5E97" w:rsidRPr="0034426D">
        <w:rPr>
          <w:rFonts w:cs="Times New Roman"/>
          <w:sz w:val="24"/>
          <w:szCs w:val="24"/>
          <w:lang w:val="en-US"/>
        </w:rPr>
        <w:t>n optimal</w:t>
      </w:r>
      <w:r w:rsidR="00073388" w:rsidRPr="0034426D">
        <w:rPr>
          <w:rFonts w:cs="Times New Roman"/>
          <w:sz w:val="24"/>
          <w:szCs w:val="24"/>
          <w:lang w:val="en-US"/>
        </w:rPr>
        <w:t xml:space="preserve"> </w:t>
      </w:r>
      <w:r w:rsidRPr="0034426D">
        <w:rPr>
          <w:rFonts w:cs="Times New Roman"/>
          <w:sz w:val="24"/>
          <w:szCs w:val="24"/>
          <w:lang w:val="en-US"/>
        </w:rPr>
        <w:t xml:space="preserve">nanoparticle diameter </w:t>
      </w:r>
      <w:r w:rsidR="00073388" w:rsidRPr="0034426D">
        <w:rPr>
          <w:rFonts w:cs="Times New Roman"/>
          <w:sz w:val="24"/>
          <w:szCs w:val="24"/>
          <w:lang w:val="en-US"/>
        </w:rPr>
        <w:t xml:space="preserve">with a good MPI performance leading </w:t>
      </w:r>
      <w:r w:rsidRPr="0034426D">
        <w:rPr>
          <w:rFonts w:cs="Times New Roman"/>
          <w:sz w:val="24"/>
          <w:szCs w:val="24"/>
          <w:lang w:val="en-US"/>
        </w:rPr>
        <w:t xml:space="preserve">to significant signals. Moreover, the blood half-life of </w:t>
      </w:r>
      <w:r w:rsidR="00073388" w:rsidRPr="0034426D">
        <w:rPr>
          <w:rFonts w:cs="Times New Roman"/>
          <w:sz w:val="24"/>
          <w:szCs w:val="24"/>
          <w:lang w:val="en-US"/>
        </w:rPr>
        <w:t>Resovist®</w:t>
      </w:r>
      <w:r w:rsidRPr="0034426D">
        <w:rPr>
          <w:rFonts w:cs="Times New Roman"/>
          <w:sz w:val="24"/>
          <w:szCs w:val="24"/>
          <w:lang w:val="en-US"/>
        </w:rPr>
        <w:t xml:space="preserve"> limits its applicability for MPI</w:t>
      </w:r>
      <w:r w:rsidR="00073388" w:rsidRPr="0034426D">
        <w:rPr>
          <w:rFonts w:cs="Times New Roman"/>
          <w:sz w:val="24"/>
          <w:szCs w:val="24"/>
          <w:lang w:val="en-US"/>
        </w:rPr>
        <w:t>,</w:t>
      </w:r>
      <w:r w:rsidRPr="0034426D">
        <w:rPr>
          <w:rFonts w:cs="Times New Roman"/>
          <w:sz w:val="24"/>
          <w:szCs w:val="24"/>
          <w:lang w:val="en-US"/>
        </w:rPr>
        <w:t xml:space="preserve"> </w:t>
      </w:r>
      <w:r w:rsidR="00073388" w:rsidRPr="0034426D">
        <w:rPr>
          <w:rFonts w:cs="Times New Roman"/>
          <w:sz w:val="24"/>
          <w:szCs w:val="24"/>
          <w:lang w:val="en-US"/>
        </w:rPr>
        <w:t>which</w:t>
      </w:r>
      <w:r w:rsidRPr="0034426D">
        <w:rPr>
          <w:rFonts w:cs="Times New Roman"/>
          <w:sz w:val="24"/>
          <w:szCs w:val="24"/>
          <w:lang w:val="en-US"/>
        </w:rPr>
        <w:t xml:space="preserve"> require</w:t>
      </w:r>
      <w:r w:rsidR="00073388" w:rsidRPr="0034426D">
        <w:rPr>
          <w:rFonts w:cs="Times New Roman"/>
          <w:sz w:val="24"/>
          <w:szCs w:val="24"/>
          <w:lang w:val="en-US"/>
        </w:rPr>
        <w:t>s</w:t>
      </w:r>
      <w:r w:rsidRPr="0034426D">
        <w:rPr>
          <w:rFonts w:cs="Times New Roman"/>
          <w:sz w:val="24"/>
          <w:szCs w:val="24"/>
          <w:lang w:val="en-US"/>
        </w:rPr>
        <w:t xml:space="preserve"> a constant signal level over a longer </w:t>
      </w:r>
      <w:r w:rsidR="00073388" w:rsidRPr="0034426D">
        <w:rPr>
          <w:rFonts w:cs="Times New Roman"/>
          <w:sz w:val="24"/>
          <w:szCs w:val="24"/>
          <w:lang w:val="en-US"/>
        </w:rPr>
        <w:t xml:space="preserve">time </w:t>
      </w:r>
      <w:r w:rsidRPr="0034426D">
        <w:rPr>
          <w:rFonts w:cs="Times New Roman"/>
          <w:sz w:val="24"/>
          <w:szCs w:val="24"/>
          <w:lang w:val="en-US"/>
        </w:rPr>
        <w:t xml:space="preserve">period. </w:t>
      </w:r>
      <w:r w:rsidR="00073388" w:rsidRPr="0034426D">
        <w:rPr>
          <w:rFonts w:cs="Times New Roman"/>
          <w:sz w:val="24"/>
          <w:szCs w:val="24"/>
          <w:lang w:val="en-US"/>
        </w:rPr>
        <w:t>Recently</w:t>
      </w:r>
      <w:r w:rsidRPr="0034426D">
        <w:rPr>
          <w:rFonts w:cs="Times New Roman"/>
          <w:sz w:val="24"/>
          <w:szCs w:val="24"/>
          <w:lang w:val="en-US"/>
        </w:rPr>
        <w:t>, the use of SPIO</w:t>
      </w:r>
      <w:r w:rsidR="00073388" w:rsidRPr="0034426D">
        <w:rPr>
          <w:rFonts w:cs="Times New Roman"/>
          <w:sz w:val="24"/>
          <w:szCs w:val="24"/>
          <w:lang w:val="en-US"/>
        </w:rPr>
        <w:t>–</w:t>
      </w:r>
      <w:r w:rsidRPr="0034426D">
        <w:rPr>
          <w:rFonts w:cs="Times New Roman"/>
          <w:sz w:val="24"/>
          <w:szCs w:val="24"/>
          <w:lang w:val="en-US"/>
        </w:rPr>
        <w:t>loaded</w:t>
      </w:r>
      <w:r w:rsidR="00073388" w:rsidRPr="0034426D">
        <w:rPr>
          <w:rFonts w:cs="Times New Roman"/>
          <w:sz w:val="24"/>
          <w:szCs w:val="24"/>
          <w:lang w:val="en-US"/>
        </w:rPr>
        <w:t xml:space="preserve"> </w:t>
      </w:r>
      <w:r w:rsidRPr="0034426D">
        <w:rPr>
          <w:rFonts w:cs="Times New Roman"/>
          <w:sz w:val="24"/>
          <w:szCs w:val="24"/>
          <w:lang w:val="en-US"/>
        </w:rPr>
        <w:t>RBCs</w:t>
      </w:r>
      <w:r w:rsidR="00073388" w:rsidRPr="0034426D">
        <w:rPr>
          <w:rFonts w:cs="Times New Roman"/>
          <w:sz w:val="24"/>
          <w:szCs w:val="24"/>
          <w:lang w:val="en-US"/>
        </w:rPr>
        <w:t xml:space="preserve"> in </w:t>
      </w:r>
      <w:r w:rsidRPr="0034426D">
        <w:rPr>
          <w:rFonts w:cs="Times New Roman"/>
          <w:sz w:val="24"/>
          <w:szCs w:val="24"/>
          <w:lang w:val="en-US"/>
        </w:rPr>
        <w:t xml:space="preserve">MPI </w:t>
      </w:r>
      <w:r w:rsidR="00073388" w:rsidRPr="0034426D">
        <w:rPr>
          <w:rFonts w:cs="Times New Roman"/>
          <w:sz w:val="24"/>
          <w:szCs w:val="24"/>
          <w:lang w:val="en-US"/>
        </w:rPr>
        <w:t>has been investigated as blood pool trace material with longer blood retention time</w:t>
      </w:r>
      <w:r w:rsidRPr="0034426D">
        <w:rPr>
          <w:rFonts w:cs="Times New Roman"/>
          <w:sz w:val="24"/>
          <w:szCs w:val="24"/>
          <w:lang w:val="en-US"/>
        </w:rPr>
        <w:t xml:space="preserve"> </w:t>
      </w:r>
      <w:r w:rsidR="007D7B2C" w:rsidRPr="0034426D">
        <w:rPr>
          <w:rFonts w:cs="Times New Roman"/>
          <w:sz w:val="24"/>
          <w:szCs w:val="24"/>
          <w:lang w:val="en-US"/>
        </w:rPr>
        <w:t>[</w:t>
      </w:r>
      <w:r w:rsidR="00336AA9">
        <w:rPr>
          <w:rFonts w:cs="Times New Roman"/>
          <w:sz w:val="24"/>
          <w:szCs w:val="24"/>
          <w:lang w:val="en-US"/>
        </w:rPr>
        <w:t>180</w:t>
      </w:r>
      <w:r w:rsidR="000C72B0">
        <w:rPr>
          <w:rFonts w:cs="Times New Roman"/>
          <w:sz w:val="24"/>
          <w:szCs w:val="24"/>
          <w:lang w:val="en-US"/>
        </w:rPr>
        <w:t>,</w:t>
      </w:r>
      <w:r w:rsidR="00336AA9">
        <w:rPr>
          <w:rFonts w:cs="Times New Roman"/>
          <w:sz w:val="24"/>
          <w:szCs w:val="24"/>
          <w:lang w:val="en-US"/>
        </w:rPr>
        <w:t>181</w:t>
      </w:r>
      <w:r w:rsidR="007D7B2C" w:rsidRPr="0034426D">
        <w:rPr>
          <w:rFonts w:cs="Times New Roman"/>
          <w:sz w:val="24"/>
          <w:szCs w:val="24"/>
          <w:lang w:val="en-US"/>
        </w:rPr>
        <w:t>]</w:t>
      </w:r>
      <w:r w:rsidRPr="0034426D">
        <w:rPr>
          <w:rFonts w:cs="Times New Roman"/>
          <w:sz w:val="24"/>
          <w:szCs w:val="24"/>
          <w:lang w:val="en-US"/>
        </w:rPr>
        <w:t>.</w:t>
      </w:r>
      <w:r w:rsidR="00CC532E" w:rsidRPr="0034426D">
        <w:rPr>
          <w:rFonts w:cs="Times New Roman"/>
          <w:sz w:val="24"/>
          <w:szCs w:val="24"/>
          <w:lang w:val="en-US"/>
        </w:rPr>
        <w:t xml:space="preserve"> </w:t>
      </w:r>
      <w:r w:rsidRPr="0034426D">
        <w:rPr>
          <w:rFonts w:cs="Times New Roman"/>
          <w:sz w:val="24"/>
          <w:szCs w:val="24"/>
          <w:lang w:val="en-US"/>
        </w:rPr>
        <w:t xml:space="preserve">Rahmer et al. </w:t>
      </w:r>
      <w:r w:rsidR="007D7B2C" w:rsidRPr="0034426D">
        <w:rPr>
          <w:rFonts w:cs="Times New Roman"/>
          <w:sz w:val="24"/>
          <w:szCs w:val="24"/>
          <w:lang w:val="en-US"/>
        </w:rPr>
        <w:t>[</w:t>
      </w:r>
      <w:r w:rsidR="00336AA9">
        <w:rPr>
          <w:rFonts w:cs="Times New Roman"/>
          <w:sz w:val="24"/>
          <w:szCs w:val="24"/>
          <w:lang w:val="en-US"/>
        </w:rPr>
        <w:t>182</w:t>
      </w:r>
      <w:r w:rsidR="007D7B2C" w:rsidRPr="0034426D">
        <w:rPr>
          <w:rFonts w:cs="Times New Roman"/>
          <w:sz w:val="24"/>
          <w:szCs w:val="24"/>
          <w:lang w:val="en-US"/>
        </w:rPr>
        <w:t>]</w:t>
      </w:r>
      <w:r w:rsidRPr="0034426D">
        <w:rPr>
          <w:rFonts w:cs="Times New Roman"/>
          <w:sz w:val="24"/>
          <w:szCs w:val="24"/>
          <w:lang w:val="en-US"/>
        </w:rPr>
        <w:t xml:space="preserve"> reported the first </w:t>
      </w:r>
      <w:r w:rsidRPr="0034426D">
        <w:rPr>
          <w:rFonts w:cs="Times New Roman"/>
          <w:i/>
          <w:sz w:val="24"/>
          <w:szCs w:val="24"/>
          <w:lang w:val="en-US"/>
        </w:rPr>
        <w:t>in vivo</w:t>
      </w:r>
      <w:r w:rsidRPr="0034426D">
        <w:rPr>
          <w:rFonts w:cs="Times New Roman"/>
          <w:sz w:val="24"/>
          <w:szCs w:val="24"/>
          <w:lang w:val="en-US"/>
        </w:rPr>
        <w:t xml:space="preserve"> MPI of mice using Resovist®-loaded RBCs. </w:t>
      </w:r>
      <w:r w:rsidR="00073388" w:rsidRPr="0034426D">
        <w:rPr>
          <w:rFonts w:cs="Times New Roman"/>
          <w:sz w:val="24"/>
          <w:szCs w:val="24"/>
          <w:lang w:val="en-US"/>
        </w:rPr>
        <w:t xml:space="preserve">The suitability of </w:t>
      </w:r>
      <w:r w:rsidRPr="0034426D">
        <w:rPr>
          <w:rFonts w:cs="Times New Roman"/>
          <w:sz w:val="24"/>
          <w:szCs w:val="24"/>
          <w:lang w:val="en-US"/>
        </w:rPr>
        <w:t xml:space="preserve">Resovist® </w:t>
      </w:r>
      <w:r w:rsidR="00073388" w:rsidRPr="0034426D">
        <w:rPr>
          <w:rFonts w:cs="Times New Roman"/>
          <w:sz w:val="24"/>
          <w:szCs w:val="24"/>
          <w:lang w:val="en-US"/>
        </w:rPr>
        <w:t>for RBC entrapment has already been established [</w:t>
      </w:r>
      <w:r w:rsidR="00336AA9">
        <w:rPr>
          <w:rFonts w:cs="Times New Roman"/>
          <w:sz w:val="24"/>
          <w:szCs w:val="24"/>
          <w:lang w:val="en-US"/>
        </w:rPr>
        <w:t>169</w:t>
      </w:r>
      <w:r w:rsidR="000C72B0">
        <w:rPr>
          <w:rFonts w:cs="Times New Roman"/>
          <w:sz w:val="24"/>
          <w:szCs w:val="24"/>
          <w:lang w:val="en-US"/>
        </w:rPr>
        <w:t>,</w:t>
      </w:r>
      <w:r w:rsidR="00336AA9">
        <w:rPr>
          <w:rFonts w:cs="Times New Roman"/>
          <w:sz w:val="24"/>
          <w:szCs w:val="24"/>
          <w:lang w:val="en-US"/>
        </w:rPr>
        <w:t>174</w:t>
      </w:r>
      <w:r w:rsidR="00073388" w:rsidRPr="0034426D">
        <w:rPr>
          <w:rFonts w:cs="Times New Roman"/>
          <w:sz w:val="24"/>
          <w:szCs w:val="24"/>
          <w:lang w:val="en-US"/>
        </w:rPr>
        <w:t>].</w:t>
      </w:r>
      <w:r w:rsidRPr="0034426D">
        <w:rPr>
          <w:rFonts w:cs="Times New Roman"/>
          <w:sz w:val="24"/>
          <w:szCs w:val="24"/>
          <w:lang w:val="en-US"/>
        </w:rPr>
        <w:t xml:space="preserve"> Despite the reduced sensitivity and resolution resulting from the size selection effect </w:t>
      </w:r>
      <w:r w:rsidR="007D7B2C" w:rsidRPr="0034426D">
        <w:rPr>
          <w:rFonts w:cs="Times New Roman"/>
          <w:sz w:val="24"/>
          <w:szCs w:val="24"/>
          <w:lang w:val="en-US"/>
        </w:rPr>
        <w:t>[</w:t>
      </w:r>
      <w:r w:rsidR="00336AA9">
        <w:rPr>
          <w:rFonts w:cs="Times New Roman"/>
          <w:sz w:val="24"/>
          <w:szCs w:val="24"/>
          <w:lang w:val="en-US"/>
        </w:rPr>
        <w:t>180</w:t>
      </w:r>
      <w:r w:rsidR="007D7B2C" w:rsidRPr="0034426D">
        <w:rPr>
          <w:rFonts w:cs="Times New Roman"/>
          <w:sz w:val="24"/>
          <w:szCs w:val="24"/>
          <w:lang w:val="en-US"/>
        </w:rPr>
        <w:t>]</w:t>
      </w:r>
      <w:r w:rsidRPr="0034426D">
        <w:rPr>
          <w:rFonts w:cs="Times New Roman"/>
          <w:sz w:val="24"/>
          <w:szCs w:val="24"/>
          <w:lang w:val="en-US"/>
        </w:rPr>
        <w:t xml:space="preserve"> and difficulties related to the application of the loading procedure to mice instead of humans, </w:t>
      </w:r>
      <w:r w:rsidR="00FE68C0" w:rsidRPr="0034426D">
        <w:rPr>
          <w:rFonts w:cs="Times New Roman"/>
          <w:sz w:val="24"/>
          <w:szCs w:val="24"/>
          <w:lang w:val="en-US"/>
        </w:rPr>
        <w:t xml:space="preserve">MPI </w:t>
      </w:r>
      <w:r w:rsidR="008F131C" w:rsidRPr="0034426D">
        <w:rPr>
          <w:rFonts w:cs="Times New Roman"/>
          <w:i/>
          <w:sz w:val="24"/>
          <w:szCs w:val="24"/>
          <w:lang w:val="en-US"/>
        </w:rPr>
        <w:t>in vivo</w:t>
      </w:r>
      <w:r w:rsidR="00FE68C0" w:rsidRPr="0034426D">
        <w:rPr>
          <w:rFonts w:cs="Times New Roman"/>
          <w:sz w:val="24"/>
          <w:szCs w:val="24"/>
          <w:lang w:val="en-US"/>
        </w:rPr>
        <w:t xml:space="preserve"> experiments provided </w:t>
      </w:r>
      <w:r w:rsidRPr="0034426D">
        <w:rPr>
          <w:rFonts w:cs="Times New Roman"/>
          <w:sz w:val="24"/>
          <w:szCs w:val="24"/>
          <w:lang w:val="en-US"/>
        </w:rPr>
        <w:t xml:space="preserve">dynamic imaging </w:t>
      </w:r>
      <w:r w:rsidR="00FE68C0" w:rsidRPr="0034426D">
        <w:rPr>
          <w:rFonts w:cs="Times New Roman"/>
          <w:sz w:val="24"/>
          <w:szCs w:val="24"/>
          <w:lang w:val="en-US"/>
        </w:rPr>
        <w:t xml:space="preserve">of heartbeat in mice </w:t>
      </w:r>
      <w:r w:rsidRPr="0034426D">
        <w:rPr>
          <w:rFonts w:cs="Times New Roman"/>
          <w:sz w:val="24"/>
          <w:szCs w:val="24"/>
          <w:lang w:val="en-US"/>
        </w:rPr>
        <w:t xml:space="preserve">up to several hours after </w:t>
      </w:r>
      <w:r w:rsidR="00FE68C0" w:rsidRPr="0034426D">
        <w:rPr>
          <w:rFonts w:cs="Times New Roman"/>
          <w:sz w:val="24"/>
          <w:szCs w:val="24"/>
          <w:lang w:val="en-US"/>
        </w:rPr>
        <w:t xml:space="preserve">the administration of murine </w:t>
      </w:r>
      <w:r w:rsidRPr="0034426D">
        <w:rPr>
          <w:rFonts w:cs="Times New Roman"/>
          <w:sz w:val="24"/>
          <w:szCs w:val="24"/>
          <w:lang w:val="en-US"/>
        </w:rPr>
        <w:t>Resovist®-loaded RBC</w:t>
      </w:r>
      <w:r w:rsidR="00FE68C0" w:rsidRPr="0034426D">
        <w:rPr>
          <w:rFonts w:cs="Times New Roman"/>
          <w:sz w:val="24"/>
          <w:szCs w:val="24"/>
          <w:lang w:val="en-US"/>
        </w:rPr>
        <w:t>s</w:t>
      </w:r>
      <w:r w:rsidRPr="0034426D">
        <w:rPr>
          <w:rFonts w:cs="Times New Roman"/>
          <w:sz w:val="24"/>
          <w:szCs w:val="24"/>
          <w:lang w:val="en-US"/>
        </w:rPr>
        <w:t xml:space="preserve">. </w:t>
      </w:r>
      <w:r w:rsidR="00C63671" w:rsidRPr="0034426D">
        <w:rPr>
          <w:rFonts w:cs="Times New Roman"/>
          <w:sz w:val="24"/>
          <w:szCs w:val="24"/>
          <w:lang w:val="en-US"/>
        </w:rPr>
        <w:t>The concentration of iron carried by Resovist®-loaded RBCs in the mouse blood was determined by Magnetic Particle Spectroscopy (MPS).</w:t>
      </w:r>
      <w:r w:rsidRPr="0034426D">
        <w:rPr>
          <w:rFonts w:cs="Times New Roman"/>
          <w:sz w:val="24"/>
          <w:szCs w:val="24"/>
          <w:lang w:val="en-US"/>
        </w:rPr>
        <w:t xml:space="preserve"> </w:t>
      </w:r>
      <w:r w:rsidR="00C63671" w:rsidRPr="0034426D">
        <w:rPr>
          <w:rFonts w:cs="Times New Roman"/>
          <w:sz w:val="24"/>
          <w:szCs w:val="24"/>
          <w:lang w:val="en-US"/>
        </w:rPr>
        <w:t xml:space="preserve">MPS spectra of blood samples withdrawn from mice treated with Resovist®-loaded RBCs demonstrated that </w:t>
      </w:r>
      <w:r w:rsidRPr="0034426D">
        <w:rPr>
          <w:rFonts w:cs="Times New Roman"/>
          <w:sz w:val="24"/>
          <w:szCs w:val="24"/>
          <w:lang w:val="en-US"/>
        </w:rPr>
        <w:t>these magnetic constructs can circulate in the mouse blood for many hours (3-24 hours</w:t>
      </w:r>
      <w:r w:rsidR="00F81DD8" w:rsidRPr="0034426D">
        <w:rPr>
          <w:rFonts w:cs="Times New Roman"/>
          <w:sz w:val="24"/>
          <w:szCs w:val="24"/>
          <w:lang w:val="en-US"/>
        </w:rPr>
        <w:t xml:space="preserve">, </w:t>
      </w:r>
      <w:r w:rsidR="00F81DD8" w:rsidRPr="0034426D">
        <w:rPr>
          <w:rFonts w:cs="Times New Roman"/>
          <w:b/>
          <w:sz w:val="24"/>
          <w:szCs w:val="24"/>
          <w:lang w:val="en-US"/>
        </w:rPr>
        <w:t>Figure</w:t>
      </w:r>
      <w:r w:rsidR="00F81DD8" w:rsidRPr="0034426D">
        <w:rPr>
          <w:rFonts w:cs="Times New Roman"/>
          <w:sz w:val="24"/>
          <w:szCs w:val="24"/>
          <w:lang w:val="en-US"/>
        </w:rPr>
        <w:t xml:space="preserve"> </w:t>
      </w:r>
      <w:r w:rsidR="00F81DD8" w:rsidRPr="0034426D">
        <w:rPr>
          <w:rFonts w:cs="Times New Roman"/>
          <w:b/>
          <w:sz w:val="24"/>
          <w:szCs w:val="24"/>
          <w:lang w:val="en-US"/>
        </w:rPr>
        <w:t>5</w:t>
      </w:r>
      <w:r w:rsidRPr="0034426D">
        <w:rPr>
          <w:rFonts w:cs="Times New Roman"/>
          <w:sz w:val="24"/>
          <w:szCs w:val="24"/>
          <w:lang w:val="en-US"/>
        </w:rPr>
        <w:t xml:space="preserve">) </w:t>
      </w:r>
      <w:r w:rsidR="007D7B2C" w:rsidRPr="0034426D">
        <w:rPr>
          <w:rFonts w:cs="Times New Roman"/>
          <w:sz w:val="24"/>
          <w:szCs w:val="24"/>
          <w:lang w:val="en-US"/>
        </w:rPr>
        <w:t>[</w:t>
      </w:r>
      <w:r w:rsidR="000C72B0">
        <w:rPr>
          <w:rFonts w:cs="Times New Roman"/>
          <w:sz w:val="24"/>
          <w:szCs w:val="24"/>
          <w:lang w:val="en-US"/>
        </w:rPr>
        <w:t>18</w:t>
      </w:r>
      <w:r w:rsidR="00336AA9">
        <w:rPr>
          <w:rFonts w:cs="Times New Roman"/>
          <w:sz w:val="24"/>
          <w:szCs w:val="24"/>
          <w:lang w:val="en-US"/>
        </w:rPr>
        <w:t>2</w:t>
      </w:r>
      <w:r w:rsidR="007D7B2C" w:rsidRPr="0034426D">
        <w:rPr>
          <w:rFonts w:cs="Times New Roman"/>
          <w:sz w:val="24"/>
          <w:szCs w:val="24"/>
          <w:lang w:val="en-US"/>
        </w:rPr>
        <w:t>]</w:t>
      </w:r>
      <w:r w:rsidRPr="0034426D">
        <w:rPr>
          <w:rFonts w:cs="Times New Roman"/>
          <w:sz w:val="24"/>
          <w:szCs w:val="24"/>
          <w:lang w:val="en-US"/>
        </w:rPr>
        <w:t>.</w:t>
      </w:r>
      <w:r w:rsidR="007D7B2C" w:rsidRPr="0034426D">
        <w:rPr>
          <w:rFonts w:cs="Times New Roman"/>
          <w:sz w:val="24"/>
          <w:szCs w:val="24"/>
          <w:lang w:val="en-US"/>
        </w:rPr>
        <w:t xml:space="preserve"> </w:t>
      </w:r>
      <w:r w:rsidR="00C63671" w:rsidRPr="0034426D">
        <w:rPr>
          <w:rFonts w:cs="Times New Roman"/>
          <w:sz w:val="24"/>
          <w:szCs w:val="24"/>
          <w:lang w:val="en-US"/>
        </w:rPr>
        <w:t xml:space="preserve">In this context, the use of longer blood half-time tracer materials would make MPI highly suitable for continuous imaging of </w:t>
      </w:r>
      <w:r w:rsidRPr="0034426D">
        <w:rPr>
          <w:rFonts w:cs="Times New Roman"/>
          <w:sz w:val="24"/>
          <w:szCs w:val="24"/>
          <w:lang w:val="en-US"/>
        </w:rPr>
        <w:t xml:space="preserve">the vessel tree </w:t>
      </w:r>
      <w:r w:rsidR="00C63671" w:rsidRPr="0034426D">
        <w:rPr>
          <w:rFonts w:cs="Times New Roman"/>
          <w:sz w:val="24"/>
          <w:szCs w:val="24"/>
          <w:lang w:val="en-US"/>
        </w:rPr>
        <w:t xml:space="preserve">or other blood-filled structures </w:t>
      </w:r>
      <w:r w:rsidRPr="0034426D">
        <w:rPr>
          <w:rFonts w:cs="Times New Roman"/>
          <w:sz w:val="24"/>
          <w:szCs w:val="24"/>
          <w:lang w:val="en-US"/>
        </w:rPr>
        <w:t xml:space="preserve">during interventional procedures </w:t>
      </w:r>
      <w:r w:rsidR="00C63671" w:rsidRPr="0034426D">
        <w:rPr>
          <w:rFonts w:cs="Times New Roman"/>
          <w:sz w:val="24"/>
          <w:szCs w:val="24"/>
          <w:lang w:val="en-US"/>
        </w:rPr>
        <w:t>and</w:t>
      </w:r>
      <w:r w:rsidRPr="0034426D">
        <w:rPr>
          <w:rFonts w:cs="Times New Roman"/>
          <w:sz w:val="24"/>
          <w:szCs w:val="24"/>
          <w:lang w:val="en-US"/>
        </w:rPr>
        <w:t xml:space="preserve"> long</w:t>
      </w:r>
      <w:r w:rsidR="00C63671" w:rsidRPr="0034426D">
        <w:rPr>
          <w:rFonts w:cs="Times New Roman"/>
          <w:sz w:val="24"/>
          <w:szCs w:val="24"/>
          <w:lang w:val="en-US"/>
        </w:rPr>
        <w:t>-</w:t>
      </w:r>
      <w:r w:rsidRPr="0034426D">
        <w:rPr>
          <w:rFonts w:cs="Times New Roman"/>
          <w:sz w:val="24"/>
          <w:szCs w:val="24"/>
          <w:lang w:val="en-US"/>
        </w:rPr>
        <w:t xml:space="preserve">term monitoring </w:t>
      </w:r>
      <w:r w:rsidR="00396E07" w:rsidRPr="0034426D">
        <w:rPr>
          <w:rFonts w:cs="Times New Roman"/>
          <w:sz w:val="24"/>
          <w:szCs w:val="24"/>
          <w:lang w:val="en-US"/>
        </w:rPr>
        <w:t xml:space="preserve">of </w:t>
      </w:r>
      <w:r w:rsidR="007D7B2C" w:rsidRPr="0034426D">
        <w:rPr>
          <w:rFonts w:cs="Times New Roman"/>
          <w:sz w:val="24"/>
          <w:szCs w:val="24"/>
          <w:lang w:val="en-US"/>
        </w:rPr>
        <w:t>cardiovascular diseases.</w:t>
      </w:r>
    </w:p>
    <w:p w14:paraId="1BEC1A63" w14:textId="77777777" w:rsidR="00396E07" w:rsidRPr="0034426D" w:rsidRDefault="00396E07" w:rsidP="00A313BB">
      <w:pPr>
        <w:spacing w:after="0" w:line="360" w:lineRule="auto"/>
        <w:jc w:val="both"/>
        <w:rPr>
          <w:rFonts w:cs="Times New Roman"/>
          <w:sz w:val="24"/>
          <w:szCs w:val="24"/>
          <w:lang w:val="en-US"/>
        </w:rPr>
      </w:pPr>
    </w:p>
    <w:p w14:paraId="4BBCFD8A" w14:textId="77777777" w:rsidR="00954F83" w:rsidRPr="0034426D" w:rsidRDefault="003223E6" w:rsidP="00A313BB">
      <w:pPr>
        <w:spacing w:after="0" w:line="360" w:lineRule="auto"/>
        <w:jc w:val="both"/>
        <w:rPr>
          <w:rFonts w:cs="Times New Roman"/>
          <w:sz w:val="24"/>
          <w:szCs w:val="24"/>
          <w:lang w:val="en-US"/>
        </w:rPr>
      </w:pPr>
      <w:r w:rsidRPr="0034426D">
        <w:rPr>
          <w:rFonts w:cs="Arial"/>
          <w:b/>
          <w:color w:val="000000"/>
          <w:sz w:val="24"/>
          <w:szCs w:val="24"/>
          <w:shd w:val="clear" w:color="auto" w:fill="FFFFFF"/>
          <w:lang w:val="en-US"/>
        </w:rPr>
        <w:t>4 Conclusions</w:t>
      </w:r>
    </w:p>
    <w:p w14:paraId="2C576C1A" w14:textId="77777777" w:rsidR="00367B32" w:rsidRPr="0034426D" w:rsidRDefault="00F73E42">
      <w:pPr>
        <w:spacing w:after="0" w:line="360" w:lineRule="auto"/>
        <w:jc w:val="both"/>
        <w:rPr>
          <w:sz w:val="24"/>
          <w:szCs w:val="24"/>
          <w:lang w:val="en-US"/>
        </w:rPr>
      </w:pPr>
      <w:r w:rsidRPr="0034426D">
        <w:rPr>
          <w:sz w:val="24"/>
          <w:szCs w:val="24"/>
          <w:lang w:val="en-US"/>
        </w:rPr>
        <w:lastRenderedPageBreak/>
        <w:t xml:space="preserve">After several years of </w:t>
      </w:r>
      <w:r w:rsidRPr="0034426D">
        <w:rPr>
          <w:i/>
          <w:sz w:val="24"/>
          <w:szCs w:val="24"/>
          <w:lang w:val="en-US"/>
        </w:rPr>
        <w:t>in vitro</w:t>
      </w:r>
      <w:r w:rsidRPr="0034426D">
        <w:rPr>
          <w:sz w:val="24"/>
          <w:szCs w:val="24"/>
          <w:lang w:val="en-US"/>
        </w:rPr>
        <w:t xml:space="preserve"> and preclinical investigations, c</w:t>
      </w:r>
      <w:r w:rsidR="003223E6" w:rsidRPr="0034426D">
        <w:rPr>
          <w:sz w:val="24"/>
          <w:szCs w:val="24"/>
          <w:lang w:val="en-US"/>
        </w:rPr>
        <w:t>ell</w:t>
      </w:r>
      <w:r w:rsidRPr="0034426D">
        <w:rPr>
          <w:sz w:val="24"/>
          <w:szCs w:val="24"/>
          <w:lang w:val="en-US"/>
        </w:rPr>
        <w:t>-</w:t>
      </w:r>
      <w:r w:rsidR="003223E6" w:rsidRPr="0034426D">
        <w:rPr>
          <w:sz w:val="24"/>
          <w:szCs w:val="24"/>
          <w:lang w:val="en-US"/>
        </w:rPr>
        <w:t>based delivery systems</w:t>
      </w:r>
      <w:r w:rsidR="00F72457" w:rsidRPr="0034426D">
        <w:rPr>
          <w:sz w:val="24"/>
          <w:szCs w:val="24"/>
          <w:lang w:val="en-US"/>
        </w:rPr>
        <w:t xml:space="preserve"> have now le</w:t>
      </w:r>
      <w:r w:rsidR="00962939" w:rsidRPr="0034426D">
        <w:rPr>
          <w:sz w:val="24"/>
          <w:szCs w:val="24"/>
          <w:lang w:val="en-US"/>
        </w:rPr>
        <w:t>ft</w:t>
      </w:r>
      <w:r w:rsidR="00F72457" w:rsidRPr="0034426D">
        <w:rPr>
          <w:sz w:val="24"/>
          <w:szCs w:val="24"/>
          <w:lang w:val="en-US"/>
        </w:rPr>
        <w:t xml:space="preserve"> their infancy and </w:t>
      </w:r>
      <w:r w:rsidR="00F653E3" w:rsidRPr="0034426D">
        <w:rPr>
          <w:sz w:val="24"/>
          <w:szCs w:val="24"/>
          <w:lang w:val="en-US"/>
        </w:rPr>
        <w:t>in few cases entered clinical development</w:t>
      </w:r>
      <w:r w:rsidRPr="0034426D">
        <w:rPr>
          <w:sz w:val="24"/>
          <w:szCs w:val="24"/>
          <w:lang w:val="en-US"/>
        </w:rPr>
        <w:t>,</w:t>
      </w:r>
      <w:r w:rsidR="00F653E3" w:rsidRPr="0034426D">
        <w:rPr>
          <w:sz w:val="24"/>
          <w:szCs w:val="24"/>
          <w:lang w:val="en-US"/>
        </w:rPr>
        <w:t xml:space="preserve"> gain</w:t>
      </w:r>
      <w:r w:rsidRPr="0034426D">
        <w:rPr>
          <w:sz w:val="24"/>
          <w:szCs w:val="24"/>
          <w:lang w:val="en-US"/>
        </w:rPr>
        <w:t>ing</w:t>
      </w:r>
      <w:r w:rsidR="00F653E3" w:rsidRPr="0034426D">
        <w:rPr>
          <w:sz w:val="24"/>
          <w:szCs w:val="24"/>
          <w:lang w:val="en-US"/>
        </w:rPr>
        <w:t xml:space="preserve"> </w:t>
      </w:r>
      <w:r w:rsidR="00F72457" w:rsidRPr="0034426D">
        <w:rPr>
          <w:sz w:val="24"/>
          <w:szCs w:val="24"/>
          <w:lang w:val="en-US"/>
        </w:rPr>
        <w:t>the state of “orphan drugs” both by EMA and FDA. These applications are described in several original publications and some clinical data are close to submission to obtain final marketing approval</w:t>
      </w:r>
      <w:r w:rsidRPr="0034426D">
        <w:rPr>
          <w:sz w:val="24"/>
          <w:szCs w:val="24"/>
          <w:lang w:val="en-US"/>
        </w:rPr>
        <w:t>,</w:t>
      </w:r>
      <w:r w:rsidR="00F72457" w:rsidRPr="0034426D">
        <w:rPr>
          <w:sz w:val="24"/>
          <w:szCs w:val="24"/>
          <w:lang w:val="en-US"/>
        </w:rPr>
        <w:t xml:space="preserve"> and are mentioned only shortly in this review. Instead</w:t>
      </w:r>
      <w:r w:rsidR="00F653E3" w:rsidRPr="0034426D">
        <w:rPr>
          <w:sz w:val="24"/>
          <w:szCs w:val="24"/>
          <w:lang w:val="en-US"/>
        </w:rPr>
        <w:t>, here</w:t>
      </w:r>
      <w:r w:rsidR="00F72457" w:rsidRPr="0034426D">
        <w:rPr>
          <w:sz w:val="24"/>
          <w:szCs w:val="24"/>
          <w:lang w:val="en-US"/>
        </w:rPr>
        <w:t xml:space="preserve"> we have tried to define areas w</w:t>
      </w:r>
      <w:r w:rsidR="00962939" w:rsidRPr="0034426D">
        <w:rPr>
          <w:sz w:val="24"/>
          <w:szCs w:val="24"/>
          <w:lang w:val="en-US"/>
        </w:rPr>
        <w:t>h</w:t>
      </w:r>
      <w:r w:rsidR="00F72457" w:rsidRPr="0034426D">
        <w:rPr>
          <w:sz w:val="24"/>
          <w:szCs w:val="24"/>
          <w:lang w:val="en-US"/>
        </w:rPr>
        <w:t>ere cell</w:t>
      </w:r>
      <w:r w:rsidR="00AD6A6A" w:rsidRPr="0034426D">
        <w:rPr>
          <w:sz w:val="24"/>
          <w:szCs w:val="24"/>
          <w:lang w:val="en-US"/>
        </w:rPr>
        <w:t>-</w:t>
      </w:r>
      <w:r w:rsidR="00F72457" w:rsidRPr="0034426D">
        <w:rPr>
          <w:sz w:val="24"/>
          <w:szCs w:val="24"/>
          <w:lang w:val="en-US"/>
        </w:rPr>
        <w:t>based delivery systems</w:t>
      </w:r>
      <w:r w:rsidR="00962939" w:rsidRPr="0034426D">
        <w:rPr>
          <w:sz w:val="24"/>
          <w:szCs w:val="24"/>
          <w:lang w:val="en-US"/>
        </w:rPr>
        <w:t>,</w:t>
      </w:r>
      <w:r w:rsidR="00F72457" w:rsidRPr="0034426D">
        <w:rPr>
          <w:sz w:val="24"/>
          <w:szCs w:val="24"/>
          <w:lang w:val="en-US"/>
        </w:rPr>
        <w:t xml:space="preserve"> in our opinion</w:t>
      </w:r>
      <w:r w:rsidR="00962939" w:rsidRPr="0034426D">
        <w:rPr>
          <w:sz w:val="24"/>
          <w:szCs w:val="24"/>
          <w:lang w:val="en-US"/>
        </w:rPr>
        <w:t>,</w:t>
      </w:r>
      <w:r w:rsidR="00F72457" w:rsidRPr="0034426D">
        <w:rPr>
          <w:sz w:val="24"/>
          <w:szCs w:val="24"/>
          <w:lang w:val="en-US"/>
        </w:rPr>
        <w:t xml:space="preserve"> are more advantageous over other delivery systems. The selection is supported by a number of publications and by our personal experiences gained during more than 20 years of active research in the field.</w:t>
      </w:r>
    </w:p>
    <w:p w14:paraId="30DAFA89" w14:textId="77777777" w:rsidR="00F72457" w:rsidRPr="0034426D" w:rsidRDefault="00F72457">
      <w:pPr>
        <w:spacing w:after="0" w:line="360" w:lineRule="auto"/>
        <w:jc w:val="both"/>
        <w:rPr>
          <w:sz w:val="24"/>
          <w:szCs w:val="24"/>
          <w:lang w:val="en-US"/>
        </w:rPr>
      </w:pPr>
      <w:r w:rsidRPr="0034426D">
        <w:rPr>
          <w:sz w:val="24"/>
          <w:szCs w:val="24"/>
          <w:lang w:val="en-US"/>
        </w:rPr>
        <w:t>Briefly, we can conclude that cell</w:t>
      </w:r>
      <w:r w:rsidR="00AD6A6A" w:rsidRPr="0034426D">
        <w:rPr>
          <w:sz w:val="24"/>
          <w:szCs w:val="24"/>
          <w:lang w:val="en-US"/>
        </w:rPr>
        <w:t>-</w:t>
      </w:r>
      <w:r w:rsidRPr="0034426D">
        <w:rPr>
          <w:sz w:val="24"/>
          <w:szCs w:val="24"/>
          <w:lang w:val="en-US"/>
        </w:rPr>
        <w:t xml:space="preserve">based delivery systems, especially red blood cells </w:t>
      </w:r>
      <w:r w:rsidR="00962939" w:rsidRPr="0034426D">
        <w:rPr>
          <w:sz w:val="24"/>
          <w:szCs w:val="24"/>
          <w:lang w:val="en-US"/>
        </w:rPr>
        <w:t xml:space="preserve">as </w:t>
      </w:r>
      <w:r w:rsidRPr="0034426D">
        <w:rPr>
          <w:sz w:val="24"/>
          <w:szCs w:val="24"/>
          <w:lang w:val="en-US"/>
        </w:rPr>
        <w:t>delivery system, have documented advant</w:t>
      </w:r>
      <w:r w:rsidR="00015121" w:rsidRPr="0034426D">
        <w:rPr>
          <w:sz w:val="24"/>
          <w:szCs w:val="24"/>
          <w:lang w:val="en-US"/>
        </w:rPr>
        <w:t>ages in at least four areas</w:t>
      </w:r>
      <w:r w:rsidRPr="0034426D">
        <w:rPr>
          <w:sz w:val="24"/>
          <w:szCs w:val="24"/>
          <w:lang w:val="en-US"/>
        </w:rPr>
        <w:t>:</w:t>
      </w:r>
    </w:p>
    <w:p w14:paraId="5BCA327C" w14:textId="77777777" w:rsidR="00BE1C04" w:rsidRPr="0034426D" w:rsidRDefault="00962939" w:rsidP="005A1343">
      <w:pPr>
        <w:pStyle w:val="Paragrafoelenco"/>
        <w:numPr>
          <w:ilvl w:val="0"/>
          <w:numId w:val="4"/>
        </w:numPr>
        <w:spacing w:line="360" w:lineRule="auto"/>
        <w:jc w:val="both"/>
        <w:rPr>
          <w:rFonts w:asciiTheme="minorHAnsi" w:hAnsiTheme="minorHAnsi"/>
          <w:lang w:val="en-US"/>
        </w:rPr>
      </w:pPr>
      <w:r w:rsidRPr="0034426D">
        <w:rPr>
          <w:rFonts w:asciiTheme="minorHAnsi" w:hAnsiTheme="minorHAnsi"/>
          <w:b/>
          <w:lang w:val="en-US"/>
        </w:rPr>
        <w:t xml:space="preserve">Carrier of </w:t>
      </w:r>
      <w:r w:rsidR="008944DD" w:rsidRPr="0034426D">
        <w:rPr>
          <w:rFonts w:asciiTheme="minorHAnsi" w:hAnsiTheme="minorHAnsi"/>
          <w:b/>
          <w:lang w:val="en-US"/>
        </w:rPr>
        <w:t>b</w:t>
      </w:r>
      <w:r w:rsidR="003223E6" w:rsidRPr="0034426D">
        <w:rPr>
          <w:rFonts w:asciiTheme="minorHAnsi" w:hAnsiTheme="minorHAnsi"/>
          <w:b/>
          <w:lang w:val="en-US"/>
        </w:rPr>
        <w:t xml:space="preserve">iologics, especially recombinant enzymes, </w:t>
      </w:r>
      <w:r w:rsidR="00AD6A6A" w:rsidRPr="0034426D">
        <w:rPr>
          <w:rFonts w:asciiTheme="minorHAnsi" w:hAnsiTheme="minorHAnsi"/>
          <w:b/>
          <w:lang w:val="en-US"/>
        </w:rPr>
        <w:t xml:space="preserve">which </w:t>
      </w:r>
      <w:r w:rsidR="003223E6" w:rsidRPr="0034426D">
        <w:rPr>
          <w:rFonts w:asciiTheme="minorHAnsi" w:hAnsiTheme="minorHAnsi"/>
          <w:b/>
          <w:lang w:val="en-US"/>
        </w:rPr>
        <w:t>should circulate as long as possible</w:t>
      </w:r>
      <w:r w:rsidR="00015121" w:rsidRPr="0034426D">
        <w:rPr>
          <w:rFonts w:asciiTheme="minorHAnsi" w:hAnsiTheme="minorHAnsi"/>
          <w:lang w:val="en-US"/>
        </w:rPr>
        <w:t>.</w:t>
      </w:r>
      <w:r w:rsidR="00C07BA3" w:rsidRPr="0034426D">
        <w:rPr>
          <w:rFonts w:asciiTheme="minorHAnsi" w:hAnsiTheme="minorHAnsi"/>
          <w:lang w:val="en-US"/>
        </w:rPr>
        <w:t xml:space="preserve"> </w:t>
      </w:r>
      <w:r w:rsidR="003223E6" w:rsidRPr="0034426D">
        <w:rPr>
          <w:rFonts w:asciiTheme="minorHAnsi" w:hAnsiTheme="minorHAnsi"/>
          <w:lang w:val="en-US"/>
        </w:rPr>
        <w:t>Cell</w:t>
      </w:r>
      <w:r w:rsidR="00AD6A6A" w:rsidRPr="0034426D">
        <w:rPr>
          <w:rFonts w:asciiTheme="minorHAnsi" w:hAnsiTheme="minorHAnsi"/>
          <w:lang w:val="en-US"/>
        </w:rPr>
        <w:t>-</w:t>
      </w:r>
      <w:r w:rsidR="003223E6" w:rsidRPr="0034426D">
        <w:rPr>
          <w:rFonts w:asciiTheme="minorHAnsi" w:hAnsiTheme="minorHAnsi"/>
          <w:lang w:val="en-US"/>
        </w:rPr>
        <w:t>based delivery systems are able to keep into circulation fragile biologics, mainly recombinant enzymes, for several weeks, sometime</w:t>
      </w:r>
      <w:r w:rsidR="00AD6A6A" w:rsidRPr="0034426D">
        <w:rPr>
          <w:rFonts w:asciiTheme="minorHAnsi" w:hAnsiTheme="minorHAnsi"/>
          <w:lang w:val="en-US"/>
        </w:rPr>
        <w:t>s</w:t>
      </w:r>
      <w:r w:rsidR="003223E6" w:rsidRPr="0034426D">
        <w:rPr>
          <w:rFonts w:asciiTheme="minorHAnsi" w:hAnsiTheme="minorHAnsi"/>
          <w:lang w:val="en-US"/>
        </w:rPr>
        <w:t xml:space="preserve"> months, preserving their catalytic properties</w:t>
      </w:r>
      <w:r w:rsidR="00D76D6C" w:rsidRPr="0034426D">
        <w:rPr>
          <w:rFonts w:asciiTheme="minorHAnsi" w:hAnsiTheme="minorHAnsi"/>
          <w:lang w:val="en-US"/>
        </w:rPr>
        <w:t xml:space="preserve"> </w:t>
      </w:r>
      <w:r w:rsidR="003223E6" w:rsidRPr="0034426D">
        <w:rPr>
          <w:rFonts w:asciiTheme="minorHAnsi" w:hAnsiTheme="minorHAnsi"/>
          <w:lang w:val="en-US"/>
        </w:rPr>
        <w:t>and preventing loss of function by i</w:t>
      </w:r>
      <w:r w:rsidR="00242F0E" w:rsidRPr="0034426D">
        <w:rPr>
          <w:rFonts w:asciiTheme="minorHAnsi" w:hAnsiTheme="minorHAnsi"/>
          <w:lang w:val="en-US"/>
        </w:rPr>
        <w:t>nduced inactivating antibodies.</w:t>
      </w:r>
    </w:p>
    <w:p w14:paraId="76FF9B48" w14:textId="77777777" w:rsidR="00BE1C04" w:rsidRPr="0034426D" w:rsidRDefault="00406354" w:rsidP="005A1343">
      <w:pPr>
        <w:pStyle w:val="Paragrafoelenco"/>
        <w:numPr>
          <w:ilvl w:val="0"/>
          <w:numId w:val="4"/>
        </w:numPr>
        <w:spacing w:line="360" w:lineRule="auto"/>
        <w:jc w:val="both"/>
        <w:rPr>
          <w:rFonts w:asciiTheme="minorHAnsi" w:hAnsiTheme="minorHAnsi"/>
          <w:lang w:val="en-US"/>
        </w:rPr>
      </w:pPr>
      <w:r w:rsidRPr="0034426D">
        <w:rPr>
          <w:rFonts w:asciiTheme="minorHAnsi" w:hAnsiTheme="minorHAnsi"/>
          <w:b/>
          <w:lang w:val="en-US"/>
        </w:rPr>
        <w:t>Circulating reservoirs as s</w:t>
      </w:r>
      <w:r w:rsidR="00015121" w:rsidRPr="0034426D">
        <w:rPr>
          <w:rFonts w:asciiTheme="minorHAnsi" w:hAnsiTheme="minorHAnsi"/>
          <w:b/>
          <w:lang w:val="en-US"/>
        </w:rPr>
        <w:t xml:space="preserve">low </w:t>
      </w:r>
      <w:r w:rsidR="00DA1FF4" w:rsidRPr="0034426D">
        <w:rPr>
          <w:rFonts w:asciiTheme="minorHAnsi" w:hAnsiTheme="minorHAnsi"/>
          <w:b/>
          <w:lang w:val="en-US"/>
        </w:rPr>
        <w:t xml:space="preserve">drug </w:t>
      </w:r>
      <w:r w:rsidR="00015121" w:rsidRPr="0034426D">
        <w:rPr>
          <w:rFonts w:asciiTheme="minorHAnsi" w:hAnsiTheme="minorHAnsi"/>
          <w:b/>
          <w:lang w:val="en-US"/>
        </w:rPr>
        <w:t>delivery systems</w:t>
      </w:r>
      <w:r w:rsidR="003223E6" w:rsidRPr="0034426D">
        <w:rPr>
          <w:rFonts w:asciiTheme="minorHAnsi" w:hAnsiTheme="minorHAnsi"/>
          <w:lang w:val="en-US"/>
        </w:rPr>
        <w:t>.</w:t>
      </w:r>
      <w:r w:rsidRPr="0034426D">
        <w:rPr>
          <w:rFonts w:asciiTheme="minorHAnsi" w:hAnsiTheme="minorHAnsi"/>
          <w:lang w:val="en-US"/>
        </w:rPr>
        <w:t xml:space="preserve"> The active drug is encapsulated into red blood cells in the form of </w:t>
      </w:r>
      <w:r w:rsidR="00423DCB" w:rsidRPr="0034426D">
        <w:rPr>
          <w:rFonts w:asciiTheme="minorHAnsi" w:hAnsiTheme="minorHAnsi"/>
          <w:lang w:val="en-US"/>
        </w:rPr>
        <w:t>a non-diffusible pro-drug (i.e d</w:t>
      </w:r>
      <w:r w:rsidRPr="0034426D">
        <w:rPr>
          <w:rFonts w:asciiTheme="minorHAnsi" w:hAnsiTheme="minorHAnsi"/>
          <w:lang w:val="en-US"/>
        </w:rPr>
        <w:t>examethasone 21-</w:t>
      </w:r>
      <w:r w:rsidR="0034426D" w:rsidRPr="0034426D">
        <w:rPr>
          <w:rFonts w:asciiTheme="minorHAnsi" w:hAnsiTheme="minorHAnsi"/>
          <w:lang w:val="en-US"/>
        </w:rPr>
        <w:t>p</w:t>
      </w:r>
      <w:r w:rsidRPr="0034426D">
        <w:rPr>
          <w:rFonts w:asciiTheme="minorHAnsi" w:hAnsiTheme="minorHAnsi"/>
          <w:lang w:val="en-US"/>
        </w:rPr>
        <w:t>hosphate) that is converted by red cell resident enzymes into</w:t>
      </w:r>
      <w:r w:rsidR="00423DCB" w:rsidRPr="0034426D">
        <w:rPr>
          <w:rFonts w:asciiTheme="minorHAnsi" w:hAnsiTheme="minorHAnsi"/>
          <w:lang w:val="en-US"/>
        </w:rPr>
        <w:t xml:space="preserve"> a diffusible drug (i.e. d</w:t>
      </w:r>
      <w:r w:rsidRPr="0034426D">
        <w:rPr>
          <w:rFonts w:asciiTheme="minorHAnsi" w:hAnsiTheme="minorHAnsi"/>
          <w:lang w:val="en-US"/>
        </w:rPr>
        <w:t>examethasone). As an alternative</w:t>
      </w:r>
      <w:r w:rsidR="00040882" w:rsidRPr="0034426D">
        <w:rPr>
          <w:rFonts w:asciiTheme="minorHAnsi" w:hAnsiTheme="minorHAnsi"/>
          <w:lang w:val="en-US"/>
        </w:rPr>
        <w:t>,</w:t>
      </w:r>
      <w:r w:rsidRPr="0034426D">
        <w:rPr>
          <w:rFonts w:asciiTheme="minorHAnsi" w:hAnsiTheme="minorHAnsi"/>
          <w:lang w:val="en-US"/>
        </w:rPr>
        <w:t xml:space="preserve"> a recombinant drug-binding protein or protein domain could be </w:t>
      </w:r>
      <w:r w:rsidR="00040882" w:rsidRPr="0034426D">
        <w:rPr>
          <w:rFonts w:asciiTheme="minorHAnsi" w:hAnsiTheme="minorHAnsi"/>
          <w:lang w:val="en-US"/>
        </w:rPr>
        <w:t>encapsulate</w:t>
      </w:r>
      <w:r w:rsidR="00AD6A6A" w:rsidRPr="0034426D">
        <w:rPr>
          <w:rFonts w:asciiTheme="minorHAnsi" w:hAnsiTheme="minorHAnsi"/>
          <w:lang w:val="en-US"/>
        </w:rPr>
        <w:t>d</w:t>
      </w:r>
      <w:r w:rsidR="00040882" w:rsidRPr="0034426D">
        <w:rPr>
          <w:rFonts w:asciiTheme="minorHAnsi" w:hAnsiTheme="minorHAnsi"/>
          <w:lang w:val="en-US"/>
        </w:rPr>
        <w:t xml:space="preserve"> to reversibly bind a diffusible drug (i.e</w:t>
      </w:r>
      <w:r w:rsidR="00AD6A6A" w:rsidRPr="0034426D">
        <w:rPr>
          <w:rFonts w:asciiTheme="minorHAnsi" w:hAnsiTheme="minorHAnsi"/>
          <w:lang w:val="en-US"/>
        </w:rPr>
        <w:t>.</w:t>
      </w:r>
      <w:r w:rsidR="00040882" w:rsidRPr="0034426D">
        <w:rPr>
          <w:rFonts w:asciiTheme="minorHAnsi" w:hAnsiTheme="minorHAnsi"/>
          <w:lang w:val="en-US"/>
        </w:rPr>
        <w:t xml:space="preserve"> Tacrolimus).</w:t>
      </w:r>
    </w:p>
    <w:p w14:paraId="46F50A00" w14:textId="77777777" w:rsidR="00BE1C04" w:rsidRPr="0034426D" w:rsidRDefault="003223E6" w:rsidP="005A1343">
      <w:pPr>
        <w:pStyle w:val="Paragrafoelenco"/>
        <w:numPr>
          <w:ilvl w:val="0"/>
          <w:numId w:val="4"/>
        </w:numPr>
        <w:spacing w:line="360" w:lineRule="auto"/>
        <w:jc w:val="both"/>
        <w:rPr>
          <w:rFonts w:asciiTheme="minorHAnsi" w:hAnsiTheme="minorHAnsi"/>
          <w:lang w:val="en-US"/>
        </w:rPr>
      </w:pPr>
      <w:r w:rsidRPr="0034426D">
        <w:rPr>
          <w:rFonts w:asciiTheme="minorHAnsi" w:hAnsiTheme="minorHAnsi"/>
          <w:b/>
          <w:lang w:val="en-US"/>
        </w:rPr>
        <w:t xml:space="preserve">Carrier of </w:t>
      </w:r>
      <w:r w:rsidR="00A461B8" w:rsidRPr="0034426D">
        <w:rPr>
          <w:rFonts w:asciiTheme="minorHAnsi" w:hAnsiTheme="minorHAnsi"/>
          <w:b/>
          <w:lang w:val="en-US"/>
        </w:rPr>
        <w:t>Infrared</w:t>
      </w:r>
      <w:r w:rsidRPr="0034426D">
        <w:rPr>
          <w:rFonts w:asciiTheme="minorHAnsi" w:hAnsiTheme="minorHAnsi"/>
          <w:b/>
          <w:lang w:val="en-US"/>
        </w:rPr>
        <w:t xml:space="preserve"> Fluorescent agents for angiography</w:t>
      </w:r>
      <w:r w:rsidR="00AD6A6A" w:rsidRPr="0034426D">
        <w:rPr>
          <w:rFonts w:asciiTheme="minorHAnsi" w:hAnsiTheme="minorHAnsi"/>
          <w:b/>
          <w:lang w:val="en-US"/>
        </w:rPr>
        <w:t>,</w:t>
      </w:r>
      <w:r w:rsidRPr="0034426D">
        <w:rPr>
          <w:rFonts w:asciiTheme="minorHAnsi" w:hAnsiTheme="minorHAnsi"/>
          <w:b/>
          <w:lang w:val="en-US"/>
        </w:rPr>
        <w:t xml:space="preserve"> </w:t>
      </w:r>
      <w:r w:rsidR="00DA1FF4" w:rsidRPr="0034426D">
        <w:rPr>
          <w:rFonts w:asciiTheme="minorHAnsi" w:hAnsiTheme="minorHAnsi"/>
          <w:lang w:val="en-US"/>
        </w:rPr>
        <w:t>preventing extravasation and binding</w:t>
      </w:r>
      <w:r w:rsidR="00AD6A6A" w:rsidRPr="0034426D">
        <w:rPr>
          <w:rFonts w:asciiTheme="minorHAnsi" w:hAnsiTheme="minorHAnsi"/>
          <w:lang w:val="en-US"/>
        </w:rPr>
        <w:t xml:space="preserve"> to </w:t>
      </w:r>
      <w:r w:rsidR="00DA1FF4" w:rsidRPr="0034426D">
        <w:rPr>
          <w:rFonts w:asciiTheme="minorHAnsi" w:hAnsiTheme="minorHAnsi"/>
          <w:lang w:val="en-US"/>
        </w:rPr>
        <w:t>plasma protein</w:t>
      </w:r>
      <w:r w:rsidR="00AD6A6A" w:rsidRPr="0034426D">
        <w:rPr>
          <w:rFonts w:asciiTheme="minorHAnsi" w:hAnsiTheme="minorHAnsi"/>
          <w:lang w:val="en-US"/>
        </w:rPr>
        <w:t>s.</w:t>
      </w:r>
    </w:p>
    <w:p w14:paraId="418D6AC1" w14:textId="77777777" w:rsidR="00BE1C04" w:rsidRPr="0034426D" w:rsidRDefault="003223E6" w:rsidP="005A1343">
      <w:pPr>
        <w:pStyle w:val="Paragrafoelenco"/>
        <w:numPr>
          <w:ilvl w:val="0"/>
          <w:numId w:val="4"/>
        </w:numPr>
        <w:spacing w:line="360" w:lineRule="auto"/>
        <w:jc w:val="both"/>
        <w:rPr>
          <w:rFonts w:asciiTheme="minorHAnsi" w:hAnsiTheme="minorHAnsi"/>
          <w:lang w:val="en-US"/>
        </w:rPr>
      </w:pPr>
      <w:r w:rsidRPr="0034426D">
        <w:rPr>
          <w:rFonts w:asciiTheme="minorHAnsi" w:hAnsiTheme="minorHAnsi"/>
          <w:b/>
          <w:lang w:val="en-US"/>
        </w:rPr>
        <w:t>Carrier of nanoparticles</w:t>
      </w:r>
      <w:r w:rsidR="00AD6A6A" w:rsidRPr="0034426D">
        <w:rPr>
          <w:rFonts w:asciiTheme="minorHAnsi" w:hAnsiTheme="minorHAnsi"/>
          <w:b/>
          <w:lang w:val="en-US"/>
        </w:rPr>
        <w:t>,</w:t>
      </w:r>
      <w:r w:rsidRPr="0034426D">
        <w:rPr>
          <w:rFonts w:asciiTheme="minorHAnsi" w:hAnsiTheme="minorHAnsi"/>
          <w:b/>
          <w:lang w:val="en-US"/>
        </w:rPr>
        <w:t xml:space="preserve"> </w:t>
      </w:r>
      <w:r w:rsidR="00DA1FF4" w:rsidRPr="0034426D">
        <w:rPr>
          <w:rFonts w:asciiTheme="minorHAnsi" w:hAnsiTheme="minorHAnsi"/>
          <w:lang w:val="en-US"/>
        </w:rPr>
        <w:t xml:space="preserve">preventing opsonization and fast removal by the </w:t>
      </w:r>
      <w:r w:rsidR="0034426D" w:rsidRPr="0034426D">
        <w:rPr>
          <w:rFonts w:asciiTheme="minorHAnsi" w:hAnsiTheme="minorHAnsi"/>
          <w:lang w:val="en-US"/>
        </w:rPr>
        <w:t xml:space="preserve">mononuclear phagocyte system </w:t>
      </w:r>
      <w:r w:rsidR="00DA1FF4" w:rsidRPr="0034426D">
        <w:rPr>
          <w:rFonts w:asciiTheme="minorHAnsi" w:hAnsiTheme="minorHAnsi"/>
          <w:lang w:val="en-US"/>
        </w:rPr>
        <w:t>especially in the liver and spleen.</w:t>
      </w:r>
    </w:p>
    <w:p w14:paraId="69455643" w14:textId="77777777" w:rsidR="00BE1C04" w:rsidRPr="0034426D" w:rsidRDefault="00DA1FF4" w:rsidP="0034426D">
      <w:pPr>
        <w:spacing w:line="360" w:lineRule="auto"/>
        <w:contextualSpacing/>
        <w:jc w:val="both"/>
        <w:rPr>
          <w:sz w:val="24"/>
          <w:szCs w:val="24"/>
          <w:lang w:val="en-US"/>
        </w:rPr>
      </w:pPr>
      <w:r w:rsidRPr="0034426D">
        <w:rPr>
          <w:sz w:val="24"/>
          <w:szCs w:val="24"/>
          <w:lang w:val="en-US"/>
        </w:rPr>
        <w:t>For each of these areas we have provided non-exclusive and non-limiting examples with the only intention to prove with a real case the documented advantage</w:t>
      </w:r>
      <w:r w:rsidR="00AD6A6A" w:rsidRPr="0034426D">
        <w:rPr>
          <w:sz w:val="24"/>
          <w:szCs w:val="24"/>
          <w:lang w:val="en-US"/>
        </w:rPr>
        <w:t>s</w:t>
      </w:r>
      <w:r w:rsidRPr="0034426D">
        <w:rPr>
          <w:sz w:val="24"/>
          <w:szCs w:val="24"/>
          <w:lang w:val="en-US"/>
        </w:rPr>
        <w:t xml:space="preserve"> of using red blood cells </w:t>
      </w:r>
      <w:r w:rsidR="008944DD" w:rsidRPr="0034426D">
        <w:rPr>
          <w:sz w:val="24"/>
          <w:szCs w:val="24"/>
          <w:lang w:val="en-US"/>
        </w:rPr>
        <w:t xml:space="preserve">as </w:t>
      </w:r>
      <w:r w:rsidRPr="0034426D">
        <w:rPr>
          <w:sz w:val="24"/>
          <w:szCs w:val="24"/>
          <w:lang w:val="en-US"/>
        </w:rPr>
        <w:t>delivery systems</w:t>
      </w:r>
      <w:r w:rsidR="00AD6A6A" w:rsidRPr="0034426D">
        <w:rPr>
          <w:sz w:val="24"/>
          <w:szCs w:val="24"/>
          <w:lang w:val="en-US"/>
        </w:rPr>
        <w:t>,</w:t>
      </w:r>
      <w:r w:rsidRPr="0034426D">
        <w:rPr>
          <w:sz w:val="24"/>
          <w:szCs w:val="24"/>
          <w:lang w:val="en-US"/>
        </w:rPr>
        <w:t xml:space="preserve"> and paving the way to</w:t>
      </w:r>
      <w:r w:rsidR="00D76D6C" w:rsidRPr="0034426D">
        <w:rPr>
          <w:sz w:val="24"/>
          <w:szCs w:val="24"/>
          <w:lang w:val="en-US"/>
        </w:rPr>
        <w:t xml:space="preserve"> </w:t>
      </w:r>
      <w:r w:rsidR="00F653E3" w:rsidRPr="0034426D">
        <w:rPr>
          <w:sz w:val="24"/>
          <w:szCs w:val="24"/>
          <w:lang w:val="en-US"/>
        </w:rPr>
        <w:t>solution of</w:t>
      </w:r>
      <w:r w:rsidRPr="0034426D">
        <w:rPr>
          <w:sz w:val="24"/>
          <w:szCs w:val="24"/>
          <w:lang w:val="en-US"/>
        </w:rPr>
        <w:t xml:space="preserve"> additional cases</w:t>
      </w:r>
      <w:r w:rsidR="00AD6A6A" w:rsidRPr="0034426D">
        <w:rPr>
          <w:sz w:val="24"/>
          <w:szCs w:val="24"/>
          <w:lang w:val="en-US"/>
        </w:rPr>
        <w:t>,</w:t>
      </w:r>
      <w:r w:rsidRPr="0034426D">
        <w:rPr>
          <w:sz w:val="24"/>
          <w:szCs w:val="24"/>
          <w:lang w:val="en-US"/>
        </w:rPr>
        <w:t xml:space="preserve"> </w:t>
      </w:r>
      <w:r w:rsidR="00AD6A6A" w:rsidRPr="0034426D">
        <w:rPr>
          <w:sz w:val="24"/>
          <w:szCs w:val="24"/>
          <w:lang w:val="en-US"/>
        </w:rPr>
        <w:t xml:space="preserve">that is </w:t>
      </w:r>
      <w:r w:rsidRPr="0034426D">
        <w:rPr>
          <w:sz w:val="24"/>
          <w:szCs w:val="24"/>
          <w:lang w:val="en-US"/>
        </w:rPr>
        <w:t>w</w:t>
      </w:r>
      <w:r w:rsidR="006B7A66" w:rsidRPr="0034426D">
        <w:rPr>
          <w:sz w:val="24"/>
          <w:szCs w:val="24"/>
          <w:lang w:val="en-US"/>
        </w:rPr>
        <w:t>h</w:t>
      </w:r>
      <w:r w:rsidRPr="0034426D">
        <w:rPr>
          <w:sz w:val="24"/>
          <w:szCs w:val="24"/>
          <w:lang w:val="en-US"/>
        </w:rPr>
        <w:t>e</w:t>
      </w:r>
      <w:r w:rsidR="00AD6A6A" w:rsidRPr="0034426D">
        <w:rPr>
          <w:sz w:val="24"/>
          <w:szCs w:val="24"/>
          <w:lang w:val="en-US"/>
        </w:rPr>
        <w:t>n</w:t>
      </w:r>
      <w:r w:rsidRPr="0034426D">
        <w:rPr>
          <w:sz w:val="24"/>
          <w:szCs w:val="24"/>
          <w:lang w:val="en-US"/>
        </w:rPr>
        <w:t xml:space="preserve"> </w:t>
      </w:r>
      <w:r w:rsidR="00F653E3" w:rsidRPr="0034426D">
        <w:rPr>
          <w:sz w:val="24"/>
          <w:szCs w:val="24"/>
          <w:lang w:val="en-US"/>
        </w:rPr>
        <w:t>recombinant enzymes are to be used as therapeutic agents</w:t>
      </w:r>
      <w:r w:rsidR="00AD6A6A" w:rsidRPr="0034426D">
        <w:rPr>
          <w:sz w:val="24"/>
          <w:szCs w:val="24"/>
          <w:lang w:val="en-US"/>
        </w:rPr>
        <w:t>,</w:t>
      </w:r>
      <w:r w:rsidR="00F653E3" w:rsidRPr="0034426D">
        <w:rPr>
          <w:sz w:val="24"/>
          <w:szCs w:val="24"/>
          <w:lang w:val="en-US"/>
        </w:rPr>
        <w:t xml:space="preserve"> when the blood concentration of a selected drug must be maintained within the therapeutic window for weeks or</w:t>
      </w:r>
      <w:r w:rsidR="00AD6A6A" w:rsidRPr="0034426D">
        <w:rPr>
          <w:sz w:val="24"/>
          <w:szCs w:val="24"/>
          <w:lang w:val="en-US"/>
        </w:rPr>
        <w:t>,</w:t>
      </w:r>
      <w:r w:rsidR="00F653E3" w:rsidRPr="0034426D">
        <w:rPr>
          <w:sz w:val="24"/>
          <w:szCs w:val="24"/>
          <w:lang w:val="en-US"/>
        </w:rPr>
        <w:t xml:space="preserve"> </w:t>
      </w:r>
      <w:r w:rsidR="00AD6A6A" w:rsidRPr="0034426D">
        <w:rPr>
          <w:sz w:val="24"/>
          <w:szCs w:val="24"/>
          <w:lang w:val="en-US"/>
        </w:rPr>
        <w:t>finally,</w:t>
      </w:r>
      <w:r w:rsidR="00F653E3" w:rsidRPr="0034426D">
        <w:rPr>
          <w:sz w:val="24"/>
          <w:szCs w:val="24"/>
          <w:lang w:val="en-US"/>
        </w:rPr>
        <w:t xml:space="preserve"> when infrared angiographic agents or nanoparticles must be kep</w:t>
      </w:r>
      <w:r w:rsidR="00AD6A6A" w:rsidRPr="0034426D">
        <w:rPr>
          <w:sz w:val="24"/>
          <w:szCs w:val="24"/>
          <w:lang w:val="en-US"/>
        </w:rPr>
        <w:t>t</w:t>
      </w:r>
      <w:r w:rsidR="00F653E3" w:rsidRPr="0034426D">
        <w:rPr>
          <w:sz w:val="24"/>
          <w:szCs w:val="24"/>
          <w:lang w:val="en-US"/>
        </w:rPr>
        <w:t xml:space="preserve"> into circulation </w:t>
      </w:r>
      <w:r w:rsidR="00AD6A6A" w:rsidRPr="0034426D">
        <w:rPr>
          <w:sz w:val="24"/>
          <w:szCs w:val="24"/>
          <w:lang w:val="en-US"/>
        </w:rPr>
        <w:t>to</w:t>
      </w:r>
      <w:r w:rsidR="00F653E3" w:rsidRPr="0034426D">
        <w:rPr>
          <w:sz w:val="24"/>
          <w:szCs w:val="24"/>
          <w:lang w:val="en-US"/>
        </w:rPr>
        <w:t xml:space="preserve"> prevent extravasation and/or macrophage recognition and removal.</w:t>
      </w:r>
      <w:r w:rsidR="00E35491">
        <w:rPr>
          <w:sz w:val="24"/>
          <w:szCs w:val="24"/>
          <w:lang w:val="en-US"/>
        </w:rPr>
        <w:t xml:space="preserve"> </w:t>
      </w:r>
      <w:r w:rsidR="009343AB" w:rsidRPr="001565D8">
        <w:rPr>
          <w:sz w:val="24"/>
          <w:szCs w:val="24"/>
          <w:lang w:val="en-US"/>
        </w:rPr>
        <w:t>Moreover, to date, no side-effects have been reported following infusions of loaded RBCs in patients</w:t>
      </w:r>
      <w:r w:rsidR="000C3A27" w:rsidRPr="001565D8">
        <w:rPr>
          <w:sz w:val="24"/>
          <w:szCs w:val="24"/>
          <w:lang w:val="en-US"/>
        </w:rPr>
        <w:t xml:space="preserve"> [</w:t>
      </w:r>
      <w:r w:rsidR="00336AA9" w:rsidRPr="001565D8">
        <w:rPr>
          <w:sz w:val="24"/>
          <w:szCs w:val="24"/>
          <w:lang w:val="en-US"/>
        </w:rPr>
        <w:t>57</w:t>
      </w:r>
      <w:r w:rsidR="00E6706B" w:rsidRPr="001565D8">
        <w:rPr>
          <w:sz w:val="24"/>
          <w:szCs w:val="24"/>
          <w:lang w:val="en-US"/>
        </w:rPr>
        <w:t>,100-</w:t>
      </w:r>
      <w:r w:rsidR="00336AA9" w:rsidRPr="001565D8">
        <w:rPr>
          <w:sz w:val="24"/>
          <w:szCs w:val="24"/>
          <w:lang w:val="en-US"/>
        </w:rPr>
        <w:t>105</w:t>
      </w:r>
      <w:r w:rsidR="00E6706B" w:rsidRPr="001565D8">
        <w:rPr>
          <w:sz w:val="24"/>
          <w:szCs w:val="24"/>
          <w:lang w:val="en-US"/>
        </w:rPr>
        <w:t>,</w:t>
      </w:r>
      <w:r w:rsidR="00336AA9" w:rsidRPr="001565D8">
        <w:rPr>
          <w:sz w:val="24"/>
          <w:szCs w:val="24"/>
          <w:lang w:val="en-US"/>
        </w:rPr>
        <w:t>113</w:t>
      </w:r>
      <w:r w:rsidR="000C3A27" w:rsidRPr="001565D8">
        <w:rPr>
          <w:sz w:val="24"/>
          <w:szCs w:val="24"/>
          <w:lang w:val="en-US"/>
        </w:rPr>
        <w:t>]</w:t>
      </w:r>
      <w:r w:rsidR="009343AB" w:rsidRPr="001565D8">
        <w:rPr>
          <w:sz w:val="24"/>
          <w:szCs w:val="24"/>
          <w:lang w:val="en-US"/>
        </w:rPr>
        <w:t xml:space="preserve">. It is noteworthy that up to now some thousands of treatments have already been performed, in few cases even for years on monthly bases, without </w:t>
      </w:r>
      <w:r w:rsidR="009343AB" w:rsidRPr="001565D8">
        <w:rPr>
          <w:sz w:val="24"/>
          <w:szCs w:val="24"/>
          <w:lang w:val="en-US"/>
        </w:rPr>
        <w:lastRenderedPageBreak/>
        <w:t>adverse events.</w:t>
      </w:r>
      <w:r w:rsidR="000B0A0A">
        <w:rPr>
          <w:sz w:val="24"/>
          <w:szCs w:val="24"/>
          <w:lang w:val="en-US"/>
        </w:rPr>
        <w:t xml:space="preserve"> </w:t>
      </w:r>
      <w:r w:rsidR="00BC392F" w:rsidRPr="0034426D">
        <w:rPr>
          <w:sz w:val="24"/>
          <w:szCs w:val="24"/>
          <w:lang w:val="en-US"/>
        </w:rPr>
        <w:t xml:space="preserve">We are aware of many additional cases </w:t>
      </w:r>
      <w:r w:rsidR="0034426D">
        <w:rPr>
          <w:sz w:val="24"/>
          <w:szCs w:val="24"/>
          <w:lang w:val="en-US"/>
        </w:rPr>
        <w:t>for which</w:t>
      </w:r>
      <w:r w:rsidR="0034426D" w:rsidRPr="0034426D">
        <w:rPr>
          <w:sz w:val="24"/>
          <w:szCs w:val="24"/>
          <w:lang w:val="en-US"/>
        </w:rPr>
        <w:t xml:space="preserve"> </w:t>
      </w:r>
      <w:r w:rsidR="00BC392F" w:rsidRPr="0034426D">
        <w:rPr>
          <w:sz w:val="24"/>
          <w:szCs w:val="24"/>
          <w:lang w:val="en-US"/>
        </w:rPr>
        <w:t>carrier erythrocytes and related technologies for the encapsulation of active agents are available but</w:t>
      </w:r>
      <w:r w:rsidR="00C60335" w:rsidRPr="0034426D">
        <w:rPr>
          <w:sz w:val="24"/>
          <w:szCs w:val="24"/>
          <w:lang w:val="en-US"/>
        </w:rPr>
        <w:t>,</w:t>
      </w:r>
      <w:r w:rsidR="00BC392F" w:rsidRPr="0034426D">
        <w:rPr>
          <w:sz w:val="24"/>
          <w:szCs w:val="24"/>
          <w:lang w:val="en-US"/>
        </w:rPr>
        <w:t xml:space="preserve"> instead of a long list of applications</w:t>
      </w:r>
      <w:r w:rsidR="00C60335" w:rsidRPr="0034426D">
        <w:rPr>
          <w:sz w:val="24"/>
          <w:szCs w:val="24"/>
          <w:lang w:val="en-US"/>
        </w:rPr>
        <w:t>,</w:t>
      </w:r>
      <w:r w:rsidR="00BC392F" w:rsidRPr="0034426D">
        <w:rPr>
          <w:sz w:val="24"/>
          <w:szCs w:val="24"/>
          <w:lang w:val="en-US"/>
        </w:rPr>
        <w:t xml:space="preserve"> we decided to focus on the most advanced ones</w:t>
      </w:r>
      <w:r w:rsidR="00C60335" w:rsidRPr="0034426D">
        <w:rPr>
          <w:sz w:val="24"/>
          <w:szCs w:val="24"/>
          <w:lang w:val="en-US"/>
        </w:rPr>
        <w:t>,</w:t>
      </w:r>
      <w:r w:rsidR="00BC392F" w:rsidRPr="0034426D">
        <w:rPr>
          <w:sz w:val="24"/>
          <w:szCs w:val="24"/>
          <w:lang w:val="en-US"/>
        </w:rPr>
        <w:t xml:space="preserve"> already in humans or at least at preclinical stage</w:t>
      </w:r>
      <w:r w:rsidR="00C60335" w:rsidRPr="0034426D">
        <w:rPr>
          <w:sz w:val="24"/>
          <w:szCs w:val="24"/>
          <w:lang w:val="en-US"/>
        </w:rPr>
        <w:t>,</w:t>
      </w:r>
      <w:r w:rsidR="00BC392F" w:rsidRPr="0034426D">
        <w:rPr>
          <w:sz w:val="24"/>
          <w:szCs w:val="24"/>
          <w:lang w:val="en-US"/>
        </w:rPr>
        <w:t xml:space="preserve"> to underline robustness of the approach and industrial feasibility</w:t>
      </w:r>
      <w:r w:rsidR="00E35491">
        <w:rPr>
          <w:sz w:val="24"/>
          <w:szCs w:val="24"/>
          <w:lang w:val="en-US"/>
        </w:rPr>
        <w:t xml:space="preserve">. </w:t>
      </w:r>
      <w:r w:rsidR="00BC392F" w:rsidRPr="0034426D">
        <w:rPr>
          <w:sz w:val="24"/>
          <w:szCs w:val="24"/>
          <w:lang w:val="en-US"/>
        </w:rPr>
        <w:t>It is worth mentioning that two companies</w:t>
      </w:r>
      <w:r w:rsidR="00AD6A6A" w:rsidRPr="0034426D">
        <w:rPr>
          <w:sz w:val="24"/>
          <w:szCs w:val="24"/>
          <w:lang w:val="en-US"/>
        </w:rPr>
        <w:t>,</w:t>
      </w:r>
      <w:r w:rsidR="00BC392F" w:rsidRPr="0034426D">
        <w:rPr>
          <w:sz w:val="24"/>
          <w:szCs w:val="24"/>
          <w:lang w:val="en-US"/>
        </w:rPr>
        <w:t xml:space="preserve"> Erytech Pharma in France and EryDel in Italy</w:t>
      </w:r>
      <w:r w:rsidR="00AD6A6A" w:rsidRPr="0034426D">
        <w:rPr>
          <w:sz w:val="24"/>
          <w:szCs w:val="24"/>
          <w:lang w:val="en-US"/>
        </w:rPr>
        <w:t>,</w:t>
      </w:r>
      <w:r w:rsidR="00BC392F" w:rsidRPr="0034426D">
        <w:rPr>
          <w:sz w:val="24"/>
          <w:szCs w:val="24"/>
          <w:lang w:val="en-US"/>
        </w:rPr>
        <w:t xml:space="preserve"> have reached clinical developments and expect to submit the data for marketing authorizations in the near future.</w:t>
      </w:r>
      <w:r w:rsidR="00C60335" w:rsidRPr="0034426D">
        <w:rPr>
          <w:sz w:val="24"/>
          <w:szCs w:val="24"/>
          <w:lang w:val="en-US"/>
        </w:rPr>
        <w:t xml:space="preserve"> </w:t>
      </w:r>
      <w:r w:rsidR="00AD6A6A" w:rsidRPr="0034426D">
        <w:rPr>
          <w:sz w:val="24"/>
          <w:szCs w:val="24"/>
          <w:lang w:val="en-US"/>
        </w:rPr>
        <w:t>In conclusion</w:t>
      </w:r>
      <w:r w:rsidR="00C60335" w:rsidRPr="0034426D">
        <w:rPr>
          <w:sz w:val="24"/>
          <w:szCs w:val="24"/>
          <w:lang w:val="en-US"/>
        </w:rPr>
        <w:t>, cell-based delivery systems have documented advantages, proved to be safe and to deliver the promise of a new technology capable of convenient solutions for old problems.</w:t>
      </w:r>
    </w:p>
    <w:p w14:paraId="240B349D" w14:textId="77777777" w:rsidR="002B2E2E" w:rsidRPr="0034426D" w:rsidRDefault="002B2E2E" w:rsidP="005A1343">
      <w:pPr>
        <w:spacing w:line="360" w:lineRule="auto"/>
        <w:jc w:val="both"/>
        <w:rPr>
          <w:sz w:val="24"/>
          <w:szCs w:val="24"/>
          <w:lang w:val="en-US"/>
        </w:rPr>
      </w:pPr>
    </w:p>
    <w:p w14:paraId="5CEE3091" w14:textId="77777777" w:rsidR="002B2E2E" w:rsidRPr="0034426D" w:rsidRDefault="002B2E2E" w:rsidP="002B2E2E">
      <w:pPr>
        <w:spacing w:after="0" w:line="360" w:lineRule="auto"/>
        <w:jc w:val="both"/>
        <w:rPr>
          <w:b/>
          <w:sz w:val="24"/>
          <w:szCs w:val="24"/>
          <w:lang w:val="en-US"/>
        </w:rPr>
      </w:pPr>
      <w:r w:rsidRPr="0034426D">
        <w:rPr>
          <w:b/>
          <w:sz w:val="24"/>
          <w:szCs w:val="24"/>
          <w:lang w:val="en-US"/>
        </w:rPr>
        <w:t>Acknowledgements</w:t>
      </w:r>
    </w:p>
    <w:p w14:paraId="38CA1A18" w14:textId="77777777" w:rsidR="002871DB" w:rsidRDefault="002B2E2E" w:rsidP="002871DB">
      <w:pPr>
        <w:spacing w:after="0" w:line="360" w:lineRule="auto"/>
        <w:jc w:val="both"/>
        <w:rPr>
          <w:sz w:val="24"/>
          <w:szCs w:val="24"/>
          <w:lang w:val="en-US"/>
        </w:rPr>
      </w:pPr>
      <w:r w:rsidRPr="0034426D">
        <w:rPr>
          <w:sz w:val="24"/>
          <w:szCs w:val="24"/>
          <w:lang w:val="en-US"/>
        </w:rPr>
        <w:t xml:space="preserve">This work was supported by FIRB project N.RBFR1299KO, Consorzio Interuniveristario Biotecnologie (CIB) and FanoAteneo. These authors are grateful to </w:t>
      </w:r>
      <w:r w:rsidR="00AD6A6A" w:rsidRPr="0034426D">
        <w:rPr>
          <w:sz w:val="24"/>
          <w:szCs w:val="24"/>
          <w:lang w:val="en-US"/>
        </w:rPr>
        <w:t xml:space="preserve">Dr. </w:t>
      </w:r>
      <w:r w:rsidRPr="0034426D">
        <w:rPr>
          <w:sz w:val="24"/>
          <w:szCs w:val="24"/>
          <w:lang w:val="en-US"/>
        </w:rPr>
        <w:t>Carla Sfara</w:t>
      </w:r>
      <w:r w:rsidR="00AD6A6A" w:rsidRPr="0034426D">
        <w:rPr>
          <w:sz w:val="24"/>
          <w:szCs w:val="24"/>
          <w:lang w:val="en-US"/>
        </w:rPr>
        <w:t>,</w:t>
      </w:r>
      <w:r w:rsidRPr="0034426D">
        <w:rPr>
          <w:sz w:val="24"/>
          <w:szCs w:val="24"/>
          <w:lang w:val="en-US"/>
        </w:rPr>
        <w:t xml:space="preserve"> PhD for the bibliographic research support.</w:t>
      </w:r>
      <w:r w:rsidR="009343AB" w:rsidRPr="003810E1">
        <w:rPr>
          <w:b/>
          <w:sz w:val="24"/>
          <w:szCs w:val="24"/>
          <w:lang w:val="en-US"/>
        </w:rPr>
        <w:br w:type="page"/>
      </w:r>
    </w:p>
    <w:p w14:paraId="3C57E861" w14:textId="77777777" w:rsidR="00275BC5" w:rsidRPr="003810E1" w:rsidRDefault="009343AB" w:rsidP="00B5607F">
      <w:pPr>
        <w:spacing w:after="0" w:line="360" w:lineRule="auto"/>
        <w:rPr>
          <w:b/>
          <w:sz w:val="24"/>
          <w:szCs w:val="24"/>
          <w:lang w:val="en-US"/>
        </w:rPr>
      </w:pPr>
      <w:r w:rsidRPr="003810E1">
        <w:rPr>
          <w:b/>
          <w:sz w:val="24"/>
          <w:szCs w:val="24"/>
          <w:lang w:val="en-US"/>
        </w:rPr>
        <w:lastRenderedPageBreak/>
        <w:t>References</w:t>
      </w:r>
    </w:p>
    <w:p w14:paraId="137AAD07" w14:textId="77777777" w:rsidR="009936A0" w:rsidRPr="0034426D" w:rsidRDefault="002977CC" w:rsidP="006439F1">
      <w:pPr>
        <w:autoSpaceDE w:val="0"/>
        <w:autoSpaceDN w:val="0"/>
        <w:adjustRightInd w:val="0"/>
        <w:spacing w:after="0" w:line="240" w:lineRule="auto"/>
        <w:jc w:val="both"/>
        <w:rPr>
          <w:sz w:val="24"/>
          <w:szCs w:val="24"/>
          <w:lang w:val="en-US"/>
        </w:rPr>
      </w:pPr>
      <w:r w:rsidRPr="0034426D">
        <w:rPr>
          <w:sz w:val="24"/>
          <w:szCs w:val="24"/>
          <w:lang w:val="en-US"/>
        </w:rPr>
        <w:t>[1]</w:t>
      </w:r>
      <w:r w:rsidR="00D11CBB" w:rsidRPr="0034426D">
        <w:rPr>
          <w:sz w:val="24"/>
          <w:szCs w:val="24"/>
          <w:lang w:val="en-US"/>
        </w:rPr>
        <w:t xml:space="preserve"> Y. Huang, Y.S. Park, J. Wang, C. Moon, Y.M. Kwon, H.S. Chung, Y.J. Park, V.C. Yang, ATTEMPTS system: a macromolecular prodrug strategy for cancer drug delivery, Curr. Pharm. Des. 16 (2010) 2369-2376.</w:t>
      </w:r>
    </w:p>
    <w:p w14:paraId="644CAC93" w14:textId="77777777" w:rsidR="00D11CBB" w:rsidRPr="0034426D" w:rsidRDefault="002977CC" w:rsidP="006439F1">
      <w:pPr>
        <w:autoSpaceDE w:val="0"/>
        <w:autoSpaceDN w:val="0"/>
        <w:adjustRightInd w:val="0"/>
        <w:spacing w:after="0" w:line="240" w:lineRule="auto"/>
        <w:jc w:val="both"/>
        <w:rPr>
          <w:sz w:val="24"/>
          <w:szCs w:val="24"/>
          <w:lang w:val="en-US"/>
        </w:rPr>
      </w:pPr>
      <w:r w:rsidRPr="0034426D">
        <w:rPr>
          <w:sz w:val="24"/>
          <w:szCs w:val="24"/>
          <w:lang w:val="en-US"/>
        </w:rPr>
        <w:t>[2]</w:t>
      </w:r>
      <w:r w:rsidR="00D11CBB" w:rsidRPr="0034426D">
        <w:rPr>
          <w:sz w:val="24"/>
          <w:szCs w:val="24"/>
          <w:lang w:val="en-US"/>
        </w:rPr>
        <w:t xml:space="preserve"> R. Haag, F. Kratz, Polymer therapeutics: concepts and applications, Angew. Chem. Int. Ed. Engl. 45 (2006) 1198-1215.</w:t>
      </w:r>
    </w:p>
    <w:p w14:paraId="6C8564BB" w14:textId="77777777" w:rsidR="00D11CBB" w:rsidRPr="0034426D" w:rsidRDefault="002977CC" w:rsidP="006439F1">
      <w:pPr>
        <w:autoSpaceDE w:val="0"/>
        <w:autoSpaceDN w:val="0"/>
        <w:adjustRightInd w:val="0"/>
        <w:spacing w:after="0" w:line="240" w:lineRule="auto"/>
        <w:jc w:val="both"/>
        <w:rPr>
          <w:sz w:val="24"/>
          <w:szCs w:val="24"/>
          <w:lang w:val="en-US"/>
        </w:rPr>
      </w:pPr>
      <w:r w:rsidRPr="0034426D">
        <w:rPr>
          <w:sz w:val="24"/>
          <w:szCs w:val="24"/>
          <w:lang w:val="en-US"/>
        </w:rPr>
        <w:t>[3]</w:t>
      </w:r>
      <w:r w:rsidR="00D11CBB" w:rsidRPr="0034426D">
        <w:rPr>
          <w:sz w:val="24"/>
          <w:szCs w:val="24"/>
          <w:lang w:val="en-US"/>
        </w:rPr>
        <w:t xml:space="preserve"> L. Tang, A.M. Persky, G. Hochhaus, B. Meibohm, Pharmacokinetic aspects of biotechnology products, J. Pharm. Sci. 93 (2004) 2184-2204.</w:t>
      </w:r>
    </w:p>
    <w:p w14:paraId="54765843" w14:textId="77777777" w:rsidR="00D11CBB" w:rsidRPr="0034426D" w:rsidRDefault="002977CC" w:rsidP="006439F1">
      <w:pPr>
        <w:autoSpaceDE w:val="0"/>
        <w:autoSpaceDN w:val="0"/>
        <w:adjustRightInd w:val="0"/>
        <w:spacing w:after="0" w:line="240" w:lineRule="auto"/>
        <w:jc w:val="both"/>
        <w:rPr>
          <w:sz w:val="24"/>
          <w:szCs w:val="24"/>
          <w:lang w:val="en-US"/>
        </w:rPr>
      </w:pPr>
      <w:r w:rsidRPr="0034426D">
        <w:rPr>
          <w:sz w:val="24"/>
          <w:szCs w:val="24"/>
          <w:lang w:val="en-US"/>
        </w:rPr>
        <w:t>[4]</w:t>
      </w:r>
      <w:r w:rsidR="00D11CBB" w:rsidRPr="0034426D">
        <w:rPr>
          <w:sz w:val="24"/>
          <w:szCs w:val="24"/>
          <w:lang w:val="en-US"/>
        </w:rPr>
        <w:t xml:space="preserve"> M.L. Graham, Pegaspargase: a review of clinical studies, Adv. Drug Deliv. Rev. 55 (2003) 1293-1302.</w:t>
      </w:r>
    </w:p>
    <w:p w14:paraId="5B24E5C5" w14:textId="77777777" w:rsidR="002977CC" w:rsidRPr="0034426D" w:rsidRDefault="002977CC" w:rsidP="006439F1">
      <w:pPr>
        <w:autoSpaceDE w:val="0"/>
        <w:autoSpaceDN w:val="0"/>
        <w:adjustRightInd w:val="0"/>
        <w:spacing w:after="0" w:line="240" w:lineRule="auto"/>
        <w:jc w:val="both"/>
        <w:rPr>
          <w:rFonts w:cs="AdvTT5235d5a9"/>
          <w:sz w:val="24"/>
          <w:szCs w:val="24"/>
          <w:lang w:val="en-US"/>
        </w:rPr>
      </w:pPr>
      <w:r w:rsidRPr="0034426D">
        <w:rPr>
          <w:rFonts w:cs="Arial"/>
          <w:sz w:val="24"/>
          <w:szCs w:val="24"/>
          <w:shd w:val="clear" w:color="auto" w:fill="FFFFFF"/>
          <w:lang w:val="en-US"/>
        </w:rPr>
        <w:t xml:space="preserve">[5] </w:t>
      </w:r>
      <w:r w:rsidRPr="0034426D">
        <w:rPr>
          <w:rFonts w:cs="AdvTT5235d5a9"/>
          <w:sz w:val="24"/>
          <w:szCs w:val="24"/>
          <w:lang w:val="en-US"/>
        </w:rPr>
        <w:t>F. Yamashita, M. Hashida, Pharmacokinetic considerations for targeted drug delivery, Adv. Drug Deliv. Rev. 65(1) (2013) 139-147.</w:t>
      </w:r>
    </w:p>
    <w:p w14:paraId="318F91D5"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[6] R.M. Botnar, M.R. Makowski, Cardiovascular magnetic resonance imaging in small animals, Prog. Mol. Biol. Transl. Sci. 105 (2012) 227-261.</w:t>
      </w:r>
    </w:p>
    <w:p w14:paraId="6BDA54FE"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[7] J.N. Tkacz, S.A. Anderson, J. Soto, MR imaging in gastrointestinal emergencies, Radiographics 29(6) (2009) 1767-1780.</w:t>
      </w:r>
    </w:p>
    <w:p w14:paraId="31FB9274"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[8] X. Chen, M.C. Cui, W. Deuther-Conrad, Y.F. Tu, T. Ma, Y. Xie, B. Jia, Y. Li, F. Xie, X. Wang, J. Steinbach, P. Brust, B.L. Liu, H.M. Jia, Synthesis and biological evaluation of a novel 99mTc cyclopentadienyl tricarbonyl complex ([(Cp-R)99mTc(CO)3]) for sigma-2 receptor tumor imaging, Bioorg. Med. Chem. Lett. 22(20) (2012) 6352-6357.</w:t>
      </w:r>
    </w:p>
    <w:p w14:paraId="1B2E417D"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[9] R.M. Wong, D.A. Gilbert, K. Liu, A.Y. Louie, Rapid size-controlled synthesis of dextran-coated, 64Cu-doped iron oxide nanoparticles, ACS Nano 6(4) (2012) 3461-3467.</w:t>
      </w:r>
    </w:p>
    <w:p w14:paraId="5893079D"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[10] J.A. Jensen, Medical ultrasound imaging, Prog. Biophys. Mol. Biol. 93(1-3) (2007) 153-165.</w:t>
      </w:r>
    </w:p>
    <w:p w14:paraId="1B97FC83"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[11] R. Choe, A. Corlu, K. Lee, T. Durduran, S.D. Konecky, M. Grosicka-Koptyra, S.R. Arridge, B.J. Czerniecki, D.L. Fraker, A. DeMichele, B. Chance, M.A. Rosen, A.G. Yodh, Diffuse optical tomography of breast cancer during neoadjuvant chemotherapy: a case study with comparison to MRI, Med. Phys. 32(4) (2005) 1128-1139.</w:t>
      </w:r>
    </w:p>
    <w:p w14:paraId="30BEE556"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[12] B. Nottelet, V. Darcos, J. Coudane, Aliphatic polyesters for medical imaging and theranostic applications, Eur. J. Pharm. Biopharm. 97 (2015) 350-370.</w:t>
      </w:r>
    </w:p>
    <w:p w14:paraId="2670F37A" w14:textId="77777777" w:rsidR="007463C9" w:rsidRPr="0034426D" w:rsidRDefault="007463C9" w:rsidP="007463C9">
      <w:pPr>
        <w:autoSpaceDE w:val="0"/>
        <w:autoSpaceDN w:val="0"/>
        <w:adjustRightInd w:val="0"/>
        <w:spacing w:after="0" w:line="240" w:lineRule="auto"/>
        <w:jc w:val="both"/>
        <w:rPr>
          <w:sz w:val="24"/>
          <w:szCs w:val="24"/>
          <w:lang w:val="en-US"/>
        </w:rPr>
      </w:pPr>
      <w:r w:rsidRPr="0034426D">
        <w:rPr>
          <w:sz w:val="24"/>
          <w:szCs w:val="24"/>
          <w:lang w:val="en-US"/>
        </w:rPr>
        <w:t>[13] S.M. Janib, A.S. Moses, J.A. MacKay, Imaging and drug delivery using theranostic nanoparticles, Adv. Drug Deliv. Rev. 62(11) (2010) 1052-1063.</w:t>
      </w:r>
    </w:p>
    <w:p w14:paraId="563963FD" w14:textId="77777777" w:rsidR="007463C9" w:rsidRPr="0034426D" w:rsidRDefault="007463C9" w:rsidP="007463C9">
      <w:pPr>
        <w:autoSpaceDE w:val="0"/>
        <w:autoSpaceDN w:val="0"/>
        <w:adjustRightInd w:val="0"/>
        <w:spacing w:after="0" w:line="240" w:lineRule="auto"/>
        <w:jc w:val="both"/>
        <w:rPr>
          <w:rFonts w:cs="Arial"/>
          <w:sz w:val="24"/>
          <w:szCs w:val="24"/>
          <w:shd w:val="clear" w:color="auto" w:fill="FFFFFF"/>
          <w:lang w:val="en-US"/>
        </w:rPr>
      </w:pPr>
      <w:r w:rsidRPr="0034426D">
        <w:rPr>
          <w:sz w:val="24"/>
          <w:szCs w:val="24"/>
          <w:lang w:val="en-US"/>
        </w:rPr>
        <w:t xml:space="preserve">[14] </w:t>
      </w:r>
      <w:r w:rsidRPr="0034426D">
        <w:rPr>
          <w:rFonts w:cs="Arial"/>
          <w:sz w:val="24"/>
          <w:szCs w:val="24"/>
          <w:shd w:val="clear" w:color="auto" w:fill="FFFFFF"/>
          <w:lang w:val="en-US"/>
        </w:rPr>
        <w:t>A. Albanese, P.S. Tang, W.C.W. Chan, The effect of nanoparticle size, shape, and surface chemistry on biological systems, Annu. Rev. Biomed. Eng.</w:t>
      </w:r>
      <w:r w:rsidR="002871DB" w:rsidRPr="002871DB">
        <w:rPr>
          <w:sz w:val="24"/>
          <w:szCs w:val="24"/>
          <w:lang w:val="en-US"/>
        </w:rPr>
        <w:t xml:space="preserve"> </w:t>
      </w:r>
      <w:r w:rsidRPr="0034426D">
        <w:rPr>
          <w:rFonts w:cs="Arial"/>
          <w:sz w:val="24"/>
          <w:szCs w:val="24"/>
          <w:shd w:val="clear" w:color="auto" w:fill="FFFFFF"/>
          <w:lang w:val="en-US"/>
        </w:rPr>
        <w:t>14 (2012) 1-16.</w:t>
      </w:r>
    </w:p>
    <w:p w14:paraId="72BDC47D" w14:textId="77777777" w:rsidR="007463C9" w:rsidRPr="0034426D" w:rsidRDefault="007463C9" w:rsidP="007463C9">
      <w:pPr>
        <w:spacing w:after="0" w:line="240" w:lineRule="auto"/>
        <w:jc w:val="both"/>
        <w:rPr>
          <w:sz w:val="24"/>
          <w:szCs w:val="24"/>
          <w:lang w:val="en-US"/>
        </w:rPr>
      </w:pPr>
      <w:r w:rsidRPr="0034426D">
        <w:rPr>
          <w:sz w:val="24"/>
          <w:szCs w:val="24"/>
          <w:lang w:val="en-US"/>
        </w:rPr>
        <w:t>[15] H. Arami, A. Khandhar, D. Liggitt, K.M. Krishnan, In vivo delivery, pharmacokinetics, biodistribution and toxicity of iron oxide nanoparticles, Chem. Soc. Rev. 44(23) (2015) 8576-8607.</w:t>
      </w:r>
    </w:p>
    <w:p w14:paraId="7527D89B" w14:textId="77777777" w:rsidR="007463C9" w:rsidRPr="0034426D" w:rsidRDefault="007463C9" w:rsidP="007463C9">
      <w:pPr>
        <w:autoSpaceDE w:val="0"/>
        <w:autoSpaceDN w:val="0"/>
        <w:adjustRightInd w:val="0"/>
        <w:spacing w:after="0" w:line="240" w:lineRule="auto"/>
        <w:jc w:val="both"/>
        <w:rPr>
          <w:rFonts w:cs="Arial"/>
          <w:sz w:val="24"/>
          <w:szCs w:val="24"/>
          <w:shd w:val="clear" w:color="auto" w:fill="FFFFFF"/>
          <w:lang w:val="en-US"/>
        </w:rPr>
      </w:pPr>
      <w:r w:rsidRPr="0034426D">
        <w:rPr>
          <w:sz w:val="24"/>
          <w:szCs w:val="24"/>
          <w:lang w:val="en-US"/>
        </w:rPr>
        <w:t xml:space="preserve">[16] </w:t>
      </w:r>
      <w:r w:rsidRPr="0034426D">
        <w:rPr>
          <w:rFonts w:cs="Arial"/>
          <w:sz w:val="24"/>
          <w:szCs w:val="24"/>
          <w:shd w:val="clear" w:color="auto" w:fill="FFFFFF"/>
          <w:lang w:val="en-US"/>
        </w:rPr>
        <w:t>E.A. Owens, S. Lee, J. Choi, M. Henary, H.S. Choi, NIR fluorescent small molecules for intraoperative imaging, Wiley Interdiscip. Rev. Nanomed. Nanobiotechnol. 7(6) (2015) 828-838.</w:t>
      </w:r>
    </w:p>
    <w:p w14:paraId="14ADB36A" w14:textId="77777777" w:rsidR="007463C9" w:rsidRPr="0034426D" w:rsidRDefault="007463C9" w:rsidP="007463C9">
      <w:pPr>
        <w:autoSpaceDE w:val="0"/>
        <w:autoSpaceDN w:val="0"/>
        <w:adjustRightInd w:val="0"/>
        <w:spacing w:after="0" w:line="240" w:lineRule="auto"/>
        <w:jc w:val="both"/>
        <w:rPr>
          <w:rFonts w:cs="Arial"/>
          <w:sz w:val="24"/>
          <w:szCs w:val="24"/>
          <w:shd w:val="clear" w:color="auto" w:fill="FFFFFF"/>
          <w:lang w:val="en-US"/>
        </w:rPr>
      </w:pPr>
      <w:r w:rsidRPr="0034426D">
        <w:rPr>
          <w:sz w:val="24"/>
          <w:szCs w:val="24"/>
          <w:lang w:val="en-US"/>
        </w:rPr>
        <w:t xml:space="preserve">[17] </w:t>
      </w:r>
      <w:r w:rsidRPr="0034426D">
        <w:rPr>
          <w:rFonts w:cs="Arial"/>
          <w:sz w:val="24"/>
          <w:szCs w:val="24"/>
          <w:shd w:val="clear" w:color="auto" w:fill="FFFFFF"/>
          <w:lang w:val="en-US"/>
        </w:rPr>
        <w:t>O. Veiseh, J.W. Gunn, M. Zhang, Design and fabrication of magnetic nanoparticles for targeted drug delivery and imaging, Adv. Drug Deliv. Rev. 62 (2010) 284-304.</w:t>
      </w:r>
    </w:p>
    <w:p w14:paraId="66C89BC8" w14:textId="77777777" w:rsidR="00D11CBB" w:rsidRPr="0034426D" w:rsidRDefault="007463C9" w:rsidP="006439F1">
      <w:pPr>
        <w:autoSpaceDE w:val="0"/>
        <w:autoSpaceDN w:val="0"/>
        <w:adjustRightInd w:val="0"/>
        <w:spacing w:after="0" w:line="240" w:lineRule="auto"/>
        <w:jc w:val="both"/>
        <w:rPr>
          <w:rFonts w:cs="AdvTT5235d5a9"/>
          <w:sz w:val="24"/>
          <w:szCs w:val="24"/>
          <w:lang w:val="en-US"/>
        </w:rPr>
      </w:pPr>
      <w:r w:rsidRPr="0034426D">
        <w:rPr>
          <w:rFonts w:cs="Arial"/>
          <w:sz w:val="24"/>
          <w:szCs w:val="24"/>
          <w:shd w:val="clear" w:color="auto" w:fill="FFFFFF"/>
          <w:lang w:val="en-US"/>
        </w:rPr>
        <w:t>[18</w:t>
      </w:r>
      <w:r w:rsidR="002977CC" w:rsidRPr="0034426D">
        <w:rPr>
          <w:rFonts w:cs="Arial"/>
          <w:sz w:val="24"/>
          <w:szCs w:val="24"/>
          <w:shd w:val="clear" w:color="auto" w:fill="FFFFFF"/>
          <w:lang w:val="en-US"/>
        </w:rPr>
        <w:t>]</w:t>
      </w:r>
      <w:r w:rsidR="00D11CBB" w:rsidRPr="0034426D">
        <w:rPr>
          <w:rFonts w:cs="AdvOTd369e91e"/>
          <w:sz w:val="24"/>
          <w:szCs w:val="24"/>
          <w:lang w:val="en-US"/>
        </w:rPr>
        <w:t xml:space="preserve"> Y. </w:t>
      </w:r>
      <w:hyperlink r:id="rId11" w:history="1">
        <w:r w:rsidR="00D11CBB" w:rsidRPr="0034426D">
          <w:rPr>
            <w:rStyle w:val="Collegamentoipertestuale"/>
            <w:rFonts w:cs="Arial"/>
            <w:color w:val="auto"/>
            <w:sz w:val="24"/>
            <w:szCs w:val="24"/>
            <w:u w:val="none"/>
            <w:shd w:val="clear" w:color="auto" w:fill="FFFFFF"/>
            <w:lang w:val="en-US"/>
          </w:rPr>
          <w:t>Su</w:t>
        </w:r>
      </w:hyperlink>
      <w:r w:rsidR="00D11CBB" w:rsidRPr="0034426D">
        <w:rPr>
          <w:rFonts w:cs="Arial"/>
          <w:sz w:val="24"/>
          <w:szCs w:val="24"/>
          <w:shd w:val="clear" w:color="auto" w:fill="FFFFFF"/>
          <w:lang w:val="en-US"/>
        </w:rPr>
        <w:t xml:space="preserve">, </w:t>
      </w:r>
      <w:r w:rsidR="00D11CBB" w:rsidRPr="0034426D">
        <w:rPr>
          <w:rStyle w:val="apple-converted-space"/>
          <w:rFonts w:cs="Arial"/>
          <w:sz w:val="24"/>
          <w:szCs w:val="24"/>
          <w:shd w:val="clear" w:color="auto" w:fill="FFFFFF"/>
          <w:lang w:val="en-US"/>
        </w:rPr>
        <w:t xml:space="preserve">Z. </w:t>
      </w:r>
      <w:hyperlink r:id="rId12" w:history="1">
        <w:r w:rsidR="00D11CBB" w:rsidRPr="0034426D">
          <w:rPr>
            <w:rStyle w:val="Collegamentoipertestuale"/>
            <w:rFonts w:cs="Arial"/>
            <w:color w:val="auto"/>
            <w:sz w:val="24"/>
            <w:szCs w:val="24"/>
            <w:u w:val="none"/>
            <w:shd w:val="clear" w:color="auto" w:fill="FFFFFF"/>
            <w:lang w:val="en-US"/>
          </w:rPr>
          <w:t>Xie</w:t>
        </w:r>
      </w:hyperlink>
      <w:r w:rsidR="00D11CBB" w:rsidRPr="0034426D">
        <w:rPr>
          <w:rFonts w:cs="Arial"/>
          <w:sz w:val="24"/>
          <w:szCs w:val="24"/>
          <w:shd w:val="clear" w:color="auto" w:fill="FFFFFF"/>
          <w:lang w:val="en-US"/>
        </w:rPr>
        <w:t>,</w:t>
      </w:r>
      <w:r w:rsidR="00D11CBB" w:rsidRPr="0034426D">
        <w:rPr>
          <w:rStyle w:val="apple-converted-space"/>
          <w:rFonts w:cs="Arial"/>
          <w:sz w:val="24"/>
          <w:szCs w:val="24"/>
          <w:shd w:val="clear" w:color="auto" w:fill="FFFFFF"/>
          <w:lang w:val="en-US"/>
        </w:rPr>
        <w:t xml:space="preserve"> G.B. </w:t>
      </w:r>
      <w:hyperlink r:id="rId13" w:history="1">
        <w:r w:rsidR="00D11CBB" w:rsidRPr="0034426D">
          <w:rPr>
            <w:rStyle w:val="Collegamentoipertestuale"/>
            <w:rFonts w:cs="Arial"/>
            <w:color w:val="auto"/>
            <w:sz w:val="24"/>
            <w:szCs w:val="24"/>
            <w:u w:val="none"/>
            <w:shd w:val="clear" w:color="auto" w:fill="FFFFFF"/>
            <w:lang w:val="en-US"/>
          </w:rPr>
          <w:t>Kim</w:t>
        </w:r>
      </w:hyperlink>
      <w:r w:rsidR="00D11CBB" w:rsidRPr="0034426D">
        <w:rPr>
          <w:rFonts w:cs="Arial"/>
          <w:sz w:val="24"/>
          <w:szCs w:val="24"/>
          <w:shd w:val="clear" w:color="auto" w:fill="FFFFFF"/>
          <w:lang w:val="en-US"/>
        </w:rPr>
        <w:t>,</w:t>
      </w:r>
      <w:r w:rsidR="00D11CBB" w:rsidRPr="0034426D">
        <w:rPr>
          <w:rStyle w:val="apple-converted-space"/>
          <w:rFonts w:cs="Arial"/>
          <w:sz w:val="24"/>
          <w:szCs w:val="24"/>
          <w:shd w:val="clear" w:color="auto" w:fill="FFFFFF"/>
          <w:lang w:val="en-US"/>
        </w:rPr>
        <w:t xml:space="preserve"> C. </w:t>
      </w:r>
      <w:hyperlink r:id="rId14" w:history="1">
        <w:r w:rsidR="00D11CBB" w:rsidRPr="0034426D">
          <w:rPr>
            <w:rStyle w:val="Collegamentoipertestuale"/>
            <w:rFonts w:cs="Arial"/>
            <w:color w:val="auto"/>
            <w:sz w:val="24"/>
            <w:szCs w:val="24"/>
            <w:u w:val="none"/>
            <w:shd w:val="clear" w:color="auto" w:fill="FFFFFF"/>
            <w:lang w:val="en-US"/>
          </w:rPr>
          <w:t>Dong</w:t>
        </w:r>
      </w:hyperlink>
      <w:r w:rsidR="00D11CBB" w:rsidRPr="0034426D">
        <w:rPr>
          <w:rFonts w:cs="Arial"/>
          <w:sz w:val="24"/>
          <w:szCs w:val="24"/>
          <w:shd w:val="clear" w:color="auto" w:fill="FFFFFF"/>
          <w:lang w:val="en-US"/>
        </w:rPr>
        <w:t>,</w:t>
      </w:r>
      <w:r w:rsidR="00D11CBB" w:rsidRPr="0034426D">
        <w:rPr>
          <w:rStyle w:val="apple-converted-space"/>
          <w:rFonts w:cs="Arial"/>
          <w:sz w:val="24"/>
          <w:szCs w:val="24"/>
          <w:shd w:val="clear" w:color="auto" w:fill="FFFFFF"/>
          <w:lang w:val="en-US"/>
        </w:rPr>
        <w:t xml:space="preserve"> J. </w:t>
      </w:r>
      <w:hyperlink r:id="rId15" w:history="1">
        <w:r w:rsidR="00D11CBB" w:rsidRPr="0034426D">
          <w:rPr>
            <w:rStyle w:val="Collegamentoipertestuale"/>
            <w:rFonts w:cs="Arial"/>
            <w:color w:val="auto"/>
            <w:sz w:val="24"/>
            <w:szCs w:val="24"/>
            <w:u w:val="none"/>
            <w:shd w:val="clear" w:color="auto" w:fill="FFFFFF"/>
            <w:lang w:val="en-US"/>
          </w:rPr>
          <w:t>Yang,</w:t>
        </w:r>
      </w:hyperlink>
      <w:r w:rsidR="00D11CBB" w:rsidRPr="0034426D">
        <w:rPr>
          <w:rFonts w:cs="AdvOT8608a8d1"/>
          <w:sz w:val="24"/>
          <w:szCs w:val="24"/>
          <w:lang w:val="en-US"/>
        </w:rPr>
        <w:t xml:space="preserve"> Design Strategies and Applications of Circulating Cell-Mediated Drug Delivery Systems, </w:t>
      </w:r>
      <w:hyperlink r:id="rId16" w:tooltip="ACS biomaterials science &amp; engineering." w:history="1">
        <w:r w:rsidR="00D11CBB" w:rsidRPr="0034426D">
          <w:rPr>
            <w:rStyle w:val="Collegamentoipertestuale"/>
            <w:rFonts w:cs="Arial"/>
            <w:color w:val="auto"/>
            <w:sz w:val="24"/>
            <w:szCs w:val="24"/>
            <w:u w:val="none"/>
            <w:shd w:val="clear" w:color="auto" w:fill="FFFFFF"/>
            <w:lang w:val="en-US"/>
          </w:rPr>
          <w:t>ACS Biomater. Sci. Eng.</w:t>
        </w:r>
      </w:hyperlink>
      <w:r w:rsidR="00D11CBB" w:rsidRPr="0034426D">
        <w:rPr>
          <w:rStyle w:val="apple-converted-space"/>
          <w:rFonts w:cs="Arial"/>
          <w:sz w:val="24"/>
          <w:szCs w:val="24"/>
          <w:shd w:val="clear" w:color="auto" w:fill="FFFFFF"/>
          <w:lang w:val="en-US"/>
        </w:rPr>
        <w:t xml:space="preserve"> </w:t>
      </w:r>
      <w:r w:rsidR="00D11CBB" w:rsidRPr="0034426D">
        <w:rPr>
          <w:rFonts w:cs="Arial"/>
          <w:sz w:val="24"/>
          <w:szCs w:val="24"/>
          <w:shd w:val="clear" w:color="auto" w:fill="FFFFFF"/>
          <w:lang w:val="en-US"/>
        </w:rPr>
        <w:t>1(4) (2015) 201-217.</w:t>
      </w:r>
    </w:p>
    <w:p w14:paraId="390D434A" w14:textId="77777777" w:rsidR="00D11CBB" w:rsidRPr="0034426D" w:rsidRDefault="007463C9" w:rsidP="006439F1">
      <w:pPr>
        <w:autoSpaceDE w:val="0"/>
        <w:autoSpaceDN w:val="0"/>
        <w:adjustRightInd w:val="0"/>
        <w:spacing w:after="0" w:line="240" w:lineRule="auto"/>
        <w:jc w:val="both"/>
        <w:rPr>
          <w:rFonts w:cs="AdvTT5843c571"/>
          <w:sz w:val="24"/>
          <w:szCs w:val="24"/>
          <w:lang w:val="en-US"/>
        </w:rPr>
      </w:pPr>
      <w:r w:rsidRPr="0034426D">
        <w:rPr>
          <w:rFonts w:cs="AdvTT5843c571"/>
          <w:sz w:val="24"/>
          <w:szCs w:val="24"/>
          <w:lang w:val="en-US"/>
        </w:rPr>
        <w:t>[19</w:t>
      </w:r>
      <w:r w:rsidR="002977CC" w:rsidRPr="0034426D">
        <w:rPr>
          <w:rFonts w:cs="AdvTT5843c571"/>
          <w:sz w:val="24"/>
          <w:szCs w:val="24"/>
          <w:lang w:val="en-US"/>
        </w:rPr>
        <w:t>]</w:t>
      </w:r>
      <w:r w:rsidR="00D11CBB" w:rsidRPr="0034426D">
        <w:rPr>
          <w:rFonts w:cs="AdvTT5843c571"/>
          <w:sz w:val="24"/>
          <w:szCs w:val="24"/>
          <w:lang w:val="en-US"/>
        </w:rPr>
        <w:t xml:space="preserve"> C.G. Millán, M.L. Marinero, A.Z. Castañeda, J.M. Lanao, Drug, enzyme and peptide delivery using erythrocytes as carriers,</w:t>
      </w:r>
      <w:r w:rsidR="002871DB" w:rsidRPr="002871DB">
        <w:rPr>
          <w:sz w:val="24"/>
          <w:szCs w:val="24"/>
          <w:lang w:val="en-US"/>
        </w:rPr>
        <w:t xml:space="preserve"> </w:t>
      </w:r>
      <w:r w:rsidR="00D11CBB" w:rsidRPr="0034426D">
        <w:rPr>
          <w:rFonts w:cs="AdvTT5843c571"/>
          <w:sz w:val="24"/>
          <w:szCs w:val="24"/>
          <w:lang w:val="en-US"/>
        </w:rPr>
        <w:t>J. Control. Release. 95(1) (2004) 27-49.</w:t>
      </w:r>
    </w:p>
    <w:p w14:paraId="4CDB3C7B" w14:textId="77777777" w:rsidR="00D11CBB" w:rsidRPr="0034426D" w:rsidRDefault="002977CC" w:rsidP="006439F1">
      <w:pPr>
        <w:spacing w:after="0" w:line="240" w:lineRule="auto"/>
        <w:jc w:val="both"/>
        <w:rPr>
          <w:sz w:val="24"/>
          <w:szCs w:val="24"/>
          <w:lang w:val="en-US"/>
        </w:rPr>
      </w:pPr>
      <w:r w:rsidRPr="0034426D">
        <w:rPr>
          <w:sz w:val="24"/>
          <w:szCs w:val="24"/>
          <w:lang w:val="en-US"/>
        </w:rPr>
        <w:t>[</w:t>
      </w:r>
      <w:r w:rsidR="007463C9" w:rsidRPr="0034426D">
        <w:rPr>
          <w:sz w:val="24"/>
          <w:szCs w:val="24"/>
          <w:lang w:val="en-US"/>
        </w:rPr>
        <w:t>20</w:t>
      </w:r>
      <w:r w:rsidRPr="0034426D">
        <w:rPr>
          <w:sz w:val="24"/>
          <w:szCs w:val="24"/>
          <w:lang w:val="en-US"/>
        </w:rPr>
        <w:t>]</w:t>
      </w:r>
      <w:r w:rsidR="00D11CBB" w:rsidRPr="0034426D">
        <w:rPr>
          <w:sz w:val="24"/>
          <w:szCs w:val="24"/>
          <w:lang w:val="en-US"/>
        </w:rPr>
        <w:t xml:space="preserve"> G.M. Ihler, R.H. Glew, F.W. Schnure, Enzyme loading of erythrocytes, Proc. Natl. Acad. Sci. U S A. 70(9) (1973) 2663-</w:t>
      </w:r>
      <w:r w:rsidR="00180EB4" w:rsidRPr="0034426D">
        <w:rPr>
          <w:sz w:val="24"/>
          <w:szCs w:val="24"/>
          <w:lang w:val="en-US"/>
        </w:rPr>
        <w:t>266</w:t>
      </w:r>
      <w:r w:rsidR="00D11CBB" w:rsidRPr="0034426D">
        <w:rPr>
          <w:sz w:val="24"/>
          <w:szCs w:val="24"/>
          <w:lang w:val="en-US"/>
        </w:rPr>
        <w:t>6.</w:t>
      </w:r>
    </w:p>
    <w:p w14:paraId="11AC2948" w14:textId="77777777" w:rsidR="00D11CBB" w:rsidRPr="0034426D" w:rsidRDefault="002977CC" w:rsidP="006439F1">
      <w:pPr>
        <w:spacing w:after="0" w:line="240" w:lineRule="auto"/>
        <w:jc w:val="both"/>
        <w:rPr>
          <w:sz w:val="24"/>
          <w:szCs w:val="24"/>
          <w:lang w:val="en-US"/>
        </w:rPr>
      </w:pPr>
      <w:r w:rsidRPr="0034426D">
        <w:rPr>
          <w:sz w:val="24"/>
          <w:szCs w:val="24"/>
          <w:lang w:val="en-US"/>
        </w:rPr>
        <w:t>[</w:t>
      </w:r>
      <w:r w:rsidR="007463C9" w:rsidRPr="0034426D">
        <w:rPr>
          <w:sz w:val="24"/>
          <w:szCs w:val="24"/>
          <w:lang w:val="en-US"/>
        </w:rPr>
        <w:t>21</w:t>
      </w:r>
      <w:r w:rsidRPr="0034426D">
        <w:rPr>
          <w:sz w:val="24"/>
          <w:szCs w:val="24"/>
          <w:lang w:val="en-US"/>
        </w:rPr>
        <w:t>]</w:t>
      </w:r>
      <w:r w:rsidR="00D11CBB" w:rsidRPr="0034426D">
        <w:rPr>
          <w:sz w:val="24"/>
          <w:szCs w:val="24"/>
          <w:lang w:val="en-US"/>
        </w:rPr>
        <w:t xml:space="preserve"> M. Magnani, F. Pierigè, L. Rossi, Erythrocytes as a novel delivery vehicle for biologics: from enzymes to nucleic acid-based therapeutics, Ther. Deliv. 3(3) (2012) 405-</w:t>
      </w:r>
      <w:r w:rsidR="00180EB4" w:rsidRPr="0034426D">
        <w:rPr>
          <w:sz w:val="24"/>
          <w:szCs w:val="24"/>
          <w:lang w:val="en-US"/>
        </w:rPr>
        <w:t>4</w:t>
      </w:r>
      <w:r w:rsidR="00D11CBB" w:rsidRPr="0034426D">
        <w:rPr>
          <w:sz w:val="24"/>
          <w:szCs w:val="24"/>
          <w:lang w:val="en-US"/>
        </w:rPr>
        <w:t>14.</w:t>
      </w:r>
    </w:p>
    <w:p w14:paraId="14B86688" w14:textId="77777777" w:rsidR="00D11CBB" w:rsidRPr="0034426D" w:rsidRDefault="002977CC" w:rsidP="006439F1">
      <w:pPr>
        <w:spacing w:after="0" w:line="240" w:lineRule="auto"/>
        <w:jc w:val="both"/>
        <w:rPr>
          <w:sz w:val="24"/>
          <w:szCs w:val="24"/>
          <w:lang w:val="en-US"/>
        </w:rPr>
      </w:pPr>
      <w:r w:rsidRPr="0034426D">
        <w:rPr>
          <w:sz w:val="24"/>
          <w:szCs w:val="24"/>
          <w:lang w:val="en-US"/>
        </w:rPr>
        <w:lastRenderedPageBreak/>
        <w:t>[</w:t>
      </w:r>
      <w:r w:rsidR="007463C9" w:rsidRPr="0034426D">
        <w:rPr>
          <w:sz w:val="24"/>
          <w:szCs w:val="24"/>
          <w:lang w:val="en-US"/>
        </w:rPr>
        <w:t>22</w:t>
      </w:r>
      <w:r w:rsidRPr="0034426D">
        <w:rPr>
          <w:sz w:val="24"/>
          <w:szCs w:val="24"/>
          <w:lang w:val="en-US"/>
        </w:rPr>
        <w:t xml:space="preserve">] </w:t>
      </w:r>
      <w:r w:rsidR="00797D44" w:rsidRPr="0034426D">
        <w:rPr>
          <w:sz w:val="24"/>
          <w:szCs w:val="24"/>
          <w:lang w:val="en-US"/>
        </w:rPr>
        <w:t xml:space="preserve">M. </w:t>
      </w:r>
      <w:r w:rsidR="00D11CBB" w:rsidRPr="0034426D">
        <w:rPr>
          <w:sz w:val="24"/>
          <w:szCs w:val="24"/>
          <w:lang w:val="en-US"/>
        </w:rPr>
        <w:t xml:space="preserve">Magnani, </w:t>
      </w:r>
      <w:r w:rsidR="00797D44" w:rsidRPr="0034426D">
        <w:rPr>
          <w:sz w:val="24"/>
          <w:szCs w:val="24"/>
          <w:lang w:val="en-US"/>
        </w:rPr>
        <w:t xml:space="preserve">S. </w:t>
      </w:r>
      <w:r w:rsidR="00D11CBB" w:rsidRPr="0034426D">
        <w:rPr>
          <w:sz w:val="24"/>
          <w:szCs w:val="24"/>
          <w:lang w:val="en-US"/>
        </w:rPr>
        <w:t xml:space="preserve">Serafini, </w:t>
      </w:r>
      <w:r w:rsidR="00797D44" w:rsidRPr="0034426D">
        <w:rPr>
          <w:sz w:val="24"/>
          <w:szCs w:val="24"/>
          <w:lang w:val="en-US"/>
        </w:rPr>
        <w:t xml:space="preserve">A. </w:t>
      </w:r>
      <w:r w:rsidR="00D11CBB" w:rsidRPr="0034426D">
        <w:rPr>
          <w:sz w:val="24"/>
          <w:szCs w:val="24"/>
          <w:lang w:val="en-US"/>
        </w:rPr>
        <w:t>Fraternale,</w:t>
      </w:r>
      <w:r w:rsidR="00797D44" w:rsidRPr="0034426D">
        <w:rPr>
          <w:sz w:val="24"/>
          <w:szCs w:val="24"/>
          <w:lang w:val="en-US"/>
        </w:rPr>
        <w:t xml:space="preserve"> A.</w:t>
      </w:r>
      <w:r w:rsidR="00D11CBB" w:rsidRPr="0034426D">
        <w:rPr>
          <w:sz w:val="24"/>
          <w:szCs w:val="24"/>
          <w:lang w:val="en-US"/>
        </w:rPr>
        <w:t xml:space="preserve"> Antonelli, </w:t>
      </w:r>
      <w:r w:rsidR="00797D44" w:rsidRPr="0034426D">
        <w:rPr>
          <w:sz w:val="24"/>
          <w:szCs w:val="24"/>
          <w:lang w:val="en-US"/>
        </w:rPr>
        <w:t xml:space="preserve">S. </w:t>
      </w:r>
      <w:r w:rsidR="00D11CBB" w:rsidRPr="0034426D">
        <w:rPr>
          <w:sz w:val="24"/>
          <w:szCs w:val="24"/>
          <w:lang w:val="en-US"/>
        </w:rPr>
        <w:t>Biagiotti,</w:t>
      </w:r>
      <w:r w:rsidR="00797D44" w:rsidRPr="0034426D">
        <w:rPr>
          <w:sz w:val="24"/>
          <w:szCs w:val="24"/>
          <w:lang w:val="en-US"/>
        </w:rPr>
        <w:t xml:space="preserve"> F.</w:t>
      </w:r>
      <w:r w:rsidR="00D11CBB" w:rsidRPr="0034426D">
        <w:rPr>
          <w:sz w:val="24"/>
          <w:szCs w:val="24"/>
          <w:lang w:val="en-US"/>
        </w:rPr>
        <w:t xml:space="preserve"> Pierigè, </w:t>
      </w:r>
      <w:r w:rsidR="00797D44" w:rsidRPr="0034426D">
        <w:rPr>
          <w:sz w:val="24"/>
          <w:szCs w:val="24"/>
          <w:lang w:val="en-US"/>
        </w:rPr>
        <w:t xml:space="preserve">C. </w:t>
      </w:r>
      <w:r w:rsidR="00D11CBB" w:rsidRPr="0034426D">
        <w:rPr>
          <w:sz w:val="24"/>
          <w:szCs w:val="24"/>
          <w:lang w:val="en-US"/>
        </w:rPr>
        <w:t xml:space="preserve">Sfara, </w:t>
      </w:r>
      <w:r w:rsidR="00797D44" w:rsidRPr="0034426D">
        <w:rPr>
          <w:sz w:val="24"/>
          <w:szCs w:val="24"/>
          <w:lang w:val="en-US"/>
        </w:rPr>
        <w:t xml:space="preserve">L. </w:t>
      </w:r>
      <w:r w:rsidR="00D11CBB" w:rsidRPr="0034426D">
        <w:rPr>
          <w:sz w:val="24"/>
          <w:szCs w:val="24"/>
          <w:lang w:val="en-US"/>
        </w:rPr>
        <w:t>Rossi, Red blood cell-based delivery of drugs and nanomaterials for therapeutic and diagnostic applications, in: H.S. Nalwa (Ed.), Encyclopedia of Nanoscience and Nanotechnology, (2011) 309-354.</w:t>
      </w:r>
    </w:p>
    <w:p w14:paraId="01422BCD" w14:textId="77777777" w:rsidR="00D11CBB" w:rsidRPr="0034426D" w:rsidRDefault="002871DB" w:rsidP="006439F1">
      <w:pPr>
        <w:spacing w:after="0" w:line="240" w:lineRule="auto"/>
        <w:jc w:val="both"/>
        <w:rPr>
          <w:rFonts w:cs="Arial"/>
          <w:sz w:val="24"/>
          <w:szCs w:val="24"/>
          <w:shd w:val="clear" w:color="auto" w:fill="FFFFFF"/>
          <w:lang w:val="en-US"/>
        </w:rPr>
      </w:pPr>
      <w:r w:rsidRPr="002871DB">
        <w:rPr>
          <w:sz w:val="24"/>
          <w:szCs w:val="24"/>
          <w:lang w:val="en-US"/>
        </w:rPr>
        <w:t>[23]</w:t>
      </w:r>
      <w:r w:rsidR="00D11CBB" w:rsidRPr="0034426D">
        <w:rPr>
          <w:rFonts w:cs="Arial"/>
          <w:sz w:val="24"/>
          <w:szCs w:val="24"/>
          <w:shd w:val="clear" w:color="auto" w:fill="FFFFFF"/>
          <w:lang w:val="en-US"/>
        </w:rPr>
        <w:t xml:space="preserve"> V.R. Muzykantov, Drug delivery by red blood cells: vascular carriers designed by mother nature, Expert. Opin. Drug Deliv. 7(4) (2010) 403–427.</w:t>
      </w:r>
    </w:p>
    <w:p w14:paraId="62971A62" w14:textId="77777777" w:rsidR="00D11CBB" w:rsidRPr="0034426D" w:rsidRDefault="002977CC" w:rsidP="006439F1">
      <w:pPr>
        <w:spacing w:after="0" w:line="240" w:lineRule="auto"/>
        <w:jc w:val="both"/>
        <w:rPr>
          <w:sz w:val="24"/>
          <w:szCs w:val="24"/>
          <w:lang w:val="en-US"/>
        </w:rPr>
      </w:pPr>
      <w:r w:rsidRPr="0034426D">
        <w:rPr>
          <w:sz w:val="24"/>
          <w:szCs w:val="24"/>
          <w:lang w:val="en-US"/>
        </w:rPr>
        <w:t>[</w:t>
      </w:r>
      <w:r w:rsidR="007463C9" w:rsidRPr="0034426D">
        <w:rPr>
          <w:sz w:val="24"/>
          <w:szCs w:val="24"/>
          <w:lang w:val="en-US"/>
        </w:rPr>
        <w:t>24</w:t>
      </w:r>
      <w:r w:rsidRPr="0034426D">
        <w:rPr>
          <w:sz w:val="24"/>
          <w:szCs w:val="24"/>
          <w:lang w:val="en-US"/>
        </w:rPr>
        <w:t>]</w:t>
      </w:r>
      <w:r w:rsidR="00D11CBB" w:rsidRPr="0034426D">
        <w:rPr>
          <w:sz w:val="24"/>
          <w:szCs w:val="24"/>
          <w:lang w:val="en-US"/>
        </w:rPr>
        <w:t xml:space="preserve"> M. Magnani, L. Rossi, Approaches to erythrocyte-mediated drug delivery, Expert. Opin. Drug Deliv. 11(5) (2014) 677-</w:t>
      </w:r>
      <w:r w:rsidR="00180EB4" w:rsidRPr="0034426D">
        <w:rPr>
          <w:sz w:val="24"/>
          <w:szCs w:val="24"/>
          <w:lang w:val="en-US"/>
        </w:rPr>
        <w:t>6</w:t>
      </w:r>
      <w:r w:rsidR="00D11CBB" w:rsidRPr="0034426D">
        <w:rPr>
          <w:sz w:val="24"/>
          <w:szCs w:val="24"/>
          <w:lang w:val="en-US"/>
        </w:rPr>
        <w:t>87.</w:t>
      </w:r>
    </w:p>
    <w:p w14:paraId="59DC034F" w14:textId="77777777" w:rsidR="00D11CBB" w:rsidRPr="0034426D" w:rsidRDefault="002977CC" w:rsidP="006439F1">
      <w:pPr>
        <w:spacing w:after="0" w:line="240" w:lineRule="auto"/>
        <w:jc w:val="both"/>
        <w:rPr>
          <w:sz w:val="24"/>
          <w:szCs w:val="24"/>
          <w:lang w:val="en-US"/>
        </w:rPr>
      </w:pPr>
      <w:r w:rsidRPr="0034426D">
        <w:rPr>
          <w:sz w:val="24"/>
          <w:szCs w:val="24"/>
          <w:lang w:val="en-US"/>
        </w:rPr>
        <w:t>[</w:t>
      </w:r>
      <w:r w:rsidR="007463C9" w:rsidRPr="0034426D">
        <w:rPr>
          <w:sz w:val="24"/>
          <w:szCs w:val="24"/>
          <w:lang w:val="en-US"/>
        </w:rPr>
        <w:t>25</w:t>
      </w:r>
      <w:r w:rsidRPr="0034426D">
        <w:rPr>
          <w:sz w:val="24"/>
          <w:szCs w:val="24"/>
          <w:lang w:val="en-US"/>
        </w:rPr>
        <w:t>]</w:t>
      </w:r>
      <w:r w:rsidR="00D11CBB" w:rsidRPr="0034426D">
        <w:rPr>
          <w:sz w:val="24"/>
          <w:szCs w:val="24"/>
          <w:lang w:val="en-US"/>
        </w:rPr>
        <w:t xml:space="preserve"> A. Zarrin, M. Foroozesh, M. Hamidi, Carrier erythrocytes: recent advances, present status, current trends and future horizons, Expert. Opin. Drug Deliv. 11(3) (2014) 433-</w:t>
      </w:r>
      <w:r w:rsidR="00180EB4" w:rsidRPr="0034426D">
        <w:rPr>
          <w:sz w:val="24"/>
          <w:szCs w:val="24"/>
          <w:lang w:val="en-US"/>
        </w:rPr>
        <w:t>4</w:t>
      </w:r>
      <w:r w:rsidR="00D11CBB" w:rsidRPr="0034426D">
        <w:rPr>
          <w:sz w:val="24"/>
          <w:szCs w:val="24"/>
          <w:lang w:val="en-US"/>
        </w:rPr>
        <w:t>47.</w:t>
      </w:r>
    </w:p>
    <w:p w14:paraId="6877CD9B" w14:textId="77777777" w:rsidR="005A0E3D"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 xml:space="preserve">[26] </w:t>
      </w:r>
      <w:r w:rsidRPr="007E4E64">
        <w:rPr>
          <w:rFonts w:ascii="Calibri" w:eastAsia="Calibri" w:hAnsi="Calibri" w:cs="Times New Roman"/>
          <w:sz w:val="24"/>
          <w:szCs w:val="24"/>
          <w:lang w:val="en-US"/>
        </w:rPr>
        <w:t>L. Rossi, F. Pierigè, C. Carducci, C. Gabucci, T, Pascucci, B, Canonico, S.M. Bell, P.A. Fitzpatrick, V. Leuzzi, M.Magnani, Erythrocyte-mediated delivery of phenylalanine ammonia lyase for the treatment of phenylketonuria in BTBR-Pah(enu2) mice, J. Control. Release. 194 (2014) 37-44.</w:t>
      </w:r>
    </w:p>
    <w:p w14:paraId="5717A054" w14:textId="77777777" w:rsidR="005A0E3D" w:rsidRPr="005A0E3D"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[27] M. Magnani, L. Rossi, M. Bianchi, G. Fornaini, U. Benatti, L. Guida, E. Zocchi, A. De Flora, Improved metabolic properties of hexokinase-overloaded human erythrocytes</w:t>
      </w:r>
      <w:r>
        <w:rPr>
          <w:rFonts w:ascii="Calibri" w:eastAsia="Calibri" w:hAnsi="Calibri" w:cs="Times New Roman"/>
          <w:sz w:val="24"/>
          <w:szCs w:val="24"/>
          <w:lang w:val="en-US"/>
        </w:rPr>
        <w:t>,</w:t>
      </w:r>
      <w:r w:rsidRPr="007E4E64">
        <w:rPr>
          <w:rFonts w:ascii="Calibri" w:eastAsia="Calibri" w:hAnsi="Calibri" w:cs="Times New Roman"/>
          <w:sz w:val="24"/>
          <w:szCs w:val="24"/>
          <w:lang w:val="en-US"/>
        </w:rPr>
        <w:t xml:space="preserve"> Biochim</w:t>
      </w:r>
      <w:r>
        <w:rPr>
          <w:rFonts w:ascii="Calibri" w:eastAsia="Calibri" w:hAnsi="Calibri" w:cs="Times New Roman"/>
          <w:sz w:val="24"/>
          <w:szCs w:val="24"/>
          <w:lang w:val="en-US"/>
        </w:rPr>
        <w:t>.</w:t>
      </w:r>
      <w:r w:rsidRPr="007E4E64">
        <w:rPr>
          <w:rFonts w:ascii="Calibri" w:eastAsia="Calibri" w:hAnsi="Calibri" w:cs="Times New Roman"/>
          <w:sz w:val="24"/>
          <w:szCs w:val="24"/>
          <w:lang w:val="en-US"/>
        </w:rPr>
        <w:t xml:space="preserve"> Biophys</w:t>
      </w:r>
      <w:r>
        <w:rPr>
          <w:rFonts w:ascii="Calibri" w:eastAsia="Calibri" w:hAnsi="Calibri" w:cs="Times New Roman"/>
          <w:sz w:val="24"/>
          <w:szCs w:val="24"/>
          <w:lang w:val="en-US"/>
        </w:rPr>
        <w:t>.</w:t>
      </w:r>
      <w:r w:rsidRPr="007E4E64">
        <w:rPr>
          <w:rFonts w:ascii="Calibri" w:eastAsia="Calibri" w:hAnsi="Calibri" w:cs="Times New Roman"/>
          <w:sz w:val="24"/>
          <w:szCs w:val="24"/>
          <w:lang w:val="en-US"/>
        </w:rPr>
        <w:t xml:space="preserve"> </w:t>
      </w:r>
      <w:r w:rsidR="002871DB" w:rsidRPr="002871DB">
        <w:rPr>
          <w:rFonts w:ascii="Calibri" w:eastAsia="Calibri" w:hAnsi="Calibri" w:cs="Times New Roman"/>
          <w:sz w:val="24"/>
          <w:szCs w:val="24"/>
          <w:lang w:val="en-US"/>
        </w:rPr>
        <w:t>Acta 972(1) (1988) 1-8.</w:t>
      </w:r>
    </w:p>
    <w:p w14:paraId="406E9B5F" w14:textId="77777777" w:rsidR="005A0E3D" w:rsidRDefault="005A0E3D" w:rsidP="005A0E3D">
      <w:pPr>
        <w:spacing w:after="0" w:line="240" w:lineRule="auto"/>
        <w:jc w:val="both"/>
        <w:rPr>
          <w:rFonts w:ascii="Calibri" w:eastAsia="Calibri" w:hAnsi="Calibri" w:cs="Times New Roman"/>
          <w:sz w:val="24"/>
          <w:szCs w:val="24"/>
          <w:lang w:val="en-US"/>
        </w:rPr>
      </w:pPr>
      <w:r w:rsidRPr="00C52BC5">
        <w:rPr>
          <w:rFonts w:ascii="Calibri" w:eastAsia="Calibri" w:hAnsi="Calibri" w:cs="Times New Roman"/>
          <w:sz w:val="24"/>
          <w:szCs w:val="24"/>
          <w:lang w:val="en-US"/>
        </w:rPr>
        <w:t xml:space="preserve">[28] V. Leuzzi, L. Rossi, C. Gabucci, F. Nardecchia, M. Magnani, Erythrocyte-mediated </w:t>
      </w:r>
      <w:r>
        <w:rPr>
          <w:rFonts w:ascii="Calibri" w:eastAsia="Calibri" w:hAnsi="Calibri" w:cs="Times New Roman"/>
          <w:sz w:val="24"/>
          <w:szCs w:val="24"/>
          <w:lang w:val="en-US"/>
        </w:rPr>
        <w:t>delivery of recombinant enzymes,</w:t>
      </w:r>
      <w:r w:rsidRPr="00C52BC5">
        <w:rPr>
          <w:rFonts w:ascii="Calibri" w:eastAsia="Calibri" w:hAnsi="Calibri" w:cs="Times New Roman"/>
          <w:sz w:val="24"/>
          <w:szCs w:val="24"/>
          <w:lang w:val="en-US"/>
        </w:rPr>
        <w:t xml:space="preserve"> J</w:t>
      </w:r>
      <w:r>
        <w:rPr>
          <w:rFonts w:ascii="Calibri" w:eastAsia="Calibri" w:hAnsi="Calibri" w:cs="Times New Roman"/>
          <w:sz w:val="24"/>
          <w:szCs w:val="24"/>
          <w:lang w:val="en-US"/>
        </w:rPr>
        <w:t>.</w:t>
      </w:r>
      <w:r w:rsidRPr="00C52BC5">
        <w:rPr>
          <w:rFonts w:ascii="Calibri" w:eastAsia="Calibri" w:hAnsi="Calibri" w:cs="Times New Roman"/>
          <w:sz w:val="24"/>
          <w:szCs w:val="24"/>
          <w:lang w:val="en-US"/>
        </w:rPr>
        <w:t xml:space="preserve"> Inherit</w:t>
      </w:r>
      <w:r>
        <w:rPr>
          <w:rFonts w:ascii="Calibri" w:eastAsia="Calibri" w:hAnsi="Calibri" w:cs="Times New Roman"/>
          <w:sz w:val="24"/>
          <w:szCs w:val="24"/>
          <w:lang w:val="en-US"/>
        </w:rPr>
        <w:t>.</w:t>
      </w:r>
      <w:r w:rsidRPr="00C52BC5">
        <w:rPr>
          <w:rFonts w:ascii="Calibri" w:eastAsia="Calibri" w:hAnsi="Calibri" w:cs="Times New Roman"/>
          <w:sz w:val="24"/>
          <w:szCs w:val="24"/>
          <w:lang w:val="en-US"/>
        </w:rPr>
        <w:t xml:space="preserve"> Metab</w:t>
      </w:r>
      <w:r>
        <w:rPr>
          <w:rFonts w:ascii="Calibri" w:eastAsia="Calibri" w:hAnsi="Calibri" w:cs="Times New Roman"/>
          <w:sz w:val="24"/>
          <w:szCs w:val="24"/>
          <w:lang w:val="en-US"/>
        </w:rPr>
        <w:t>.</w:t>
      </w:r>
      <w:r w:rsidRPr="00C52BC5">
        <w:rPr>
          <w:rFonts w:ascii="Calibri" w:eastAsia="Calibri" w:hAnsi="Calibri" w:cs="Times New Roman"/>
          <w:sz w:val="24"/>
          <w:szCs w:val="24"/>
          <w:lang w:val="en-US"/>
        </w:rPr>
        <w:t xml:space="preserve"> Dis. </w:t>
      </w:r>
      <w:r>
        <w:rPr>
          <w:rFonts w:ascii="Calibri" w:eastAsia="Calibri" w:hAnsi="Calibri" w:cs="Times New Roman"/>
          <w:sz w:val="24"/>
          <w:szCs w:val="24"/>
          <w:lang w:val="en-US"/>
        </w:rPr>
        <w:t>(</w:t>
      </w:r>
      <w:r w:rsidRPr="00C52BC5">
        <w:rPr>
          <w:rFonts w:ascii="Calibri" w:eastAsia="Calibri" w:hAnsi="Calibri" w:cs="Times New Roman"/>
          <w:sz w:val="24"/>
          <w:szCs w:val="24"/>
          <w:lang w:val="en-US"/>
        </w:rPr>
        <w:t>2016</w:t>
      </w:r>
      <w:r>
        <w:rPr>
          <w:rFonts w:ascii="Calibri" w:eastAsia="Calibri" w:hAnsi="Calibri" w:cs="Times New Roman"/>
          <w:sz w:val="24"/>
          <w:szCs w:val="24"/>
          <w:lang w:val="en-US"/>
        </w:rPr>
        <w:t>)</w:t>
      </w:r>
      <w:r w:rsidRPr="00C52BC5">
        <w:rPr>
          <w:rFonts w:ascii="Calibri" w:eastAsia="Calibri" w:hAnsi="Calibri" w:cs="Times New Roman"/>
          <w:sz w:val="24"/>
          <w:szCs w:val="24"/>
          <w:lang w:val="en-US"/>
        </w:rPr>
        <w:t xml:space="preserve"> [Epub ahead of</w:t>
      </w:r>
      <w:r>
        <w:rPr>
          <w:rFonts w:ascii="Calibri" w:eastAsia="Calibri" w:hAnsi="Calibri" w:cs="Times New Roman"/>
          <w:sz w:val="24"/>
          <w:szCs w:val="24"/>
          <w:lang w:val="en-US"/>
        </w:rPr>
        <w:t xml:space="preserve"> </w:t>
      </w:r>
      <w:r w:rsidRPr="00C52BC5">
        <w:rPr>
          <w:rFonts w:ascii="Calibri" w:eastAsia="Calibri" w:hAnsi="Calibri" w:cs="Times New Roman"/>
          <w:sz w:val="24"/>
          <w:szCs w:val="24"/>
          <w:lang w:val="en-US"/>
        </w:rPr>
        <w:t>print]</w:t>
      </w:r>
      <w:r>
        <w:rPr>
          <w:rFonts w:ascii="Calibri" w:eastAsia="Calibri" w:hAnsi="Calibri" w:cs="Times New Roman"/>
          <w:sz w:val="24"/>
          <w:szCs w:val="24"/>
          <w:lang w:val="en-US"/>
        </w:rPr>
        <w:t>.</w:t>
      </w:r>
    </w:p>
    <w:p w14:paraId="6E4B51B8" w14:textId="77777777" w:rsidR="005A0E3D"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 xml:space="preserve">[29] B.E. </w:t>
      </w:r>
      <w:r w:rsidRPr="00386D19">
        <w:rPr>
          <w:rFonts w:ascii="Calibri" w:eastAsia="Calibri" w:hAnsi="Calibri" w:cs="Times New Roman"/>
          <w:sz w:val="24"/>
          <w:szCs w:val="24"/>
          <w:lang w:val="en-US"/>
        </w:rPr>
        <w:t xml:space="preserve">Bax, </w:t>
      </w:r>
      <w:r>
        <w:rPr>
          <w:rFonts w:ascii="Calibri" w:eastAsia="Calibri" w:hAnsi="Calibri" w:cs="Times New Roman"/>
          <w:sz w:val="24"/>
          <w:szCs w:val="24"/>
          <w:lang w:val="en-US"/>
        </w:rPr>
        <w:t xml:space="preserve">M.D. </w:t>
      </w:r>
      <w:r w:rsidRPr="00386D19">
        <w:rPr>
          <w:rFonts w:ascii="Calibri" w:eastAsia="Calibri" w:hAnsi="Calibri" w:cs="Times New Roman"/>
          <w:sz w:val="24"/>
          <w:szCs w:val="24"/>
          <w:lang w:val="en-US"/>
        </w:rPr>
        <w:t>Bain,</w:t>
      </w:r>
      <w:r>
        <w:rPr>
          <w:rFonts w:ascii="Calibri" w:eastAsia="Calibri" w:hAnsi="Calibri" w:cs="Times New Roman"/>
          <w:sz w:val="24"/>
          <w:szCs w:val="24"/>
          <w:lang w:val="en-US"/>
        </w:rPr>
        <w:t xml:space="preserve"> P.J.</w:t>
      </w:r>
      <w:r w:rsidRPr="00386D19">
        <w:rPr>
          <w:rFonts w:ascii="Calibri" w:eastAsia="Calibri" w:hAnsi="Calibri" w:cs="Times New Roman"/>
          <w:sz w:val="24"/>
          <w:szCs w:val="24"/>
          <w:lang w:val="en-US"/>
        </w:rPr>
        <w:t xml:space="preserve"> Talbot, </w:t>
      </w:r>
      <w:r>
        <w:rPr>
          <w:rFonts w:ascii="Calibri" w:eastAsia="Calibri" w:hAnsi="Calibri" w:cs="Times New Roman"/>
          <w:sz w:val="24"/>
          <w:szCs w:val="24"/>
          <w:lang w:val="en-US"/>
        </w:rPr>
        <w:t xml:space="preserve">E.J. </w:t>
      </w:r>
      <w:r w:rsidRPr="00386D19">
        <w:rPr>
          <w:rFonts w:ascii="Calibri" w:eastAsia="Calibri" w:hAnsi="Calibri" w:cs="Times New Roman"/>
          <w:sz w:val="24"/>
          <w:szCs w:val="24"/>
          <w:lang w:val="en-US"/>
        </w:rPr>
        <w:t xml:space="preserve">Parker-Williams, </w:t>
      </w:r>
      <w:r>
        <w:rPr>
          <w:rFonts w:ascii="Calibri" w:eastAsia="Calibri" w:hAnsi="Calibri" w:cs="Times New Roman"/>
          <w:sz w:val="24"/>
          <w:szCs w:val="24"/>
          <w:lang w:val="en-US"/>
        </w:rPr>
        <w:t xml:space="preserve">R.A. </w:t>
      </w:r>
      <w:r w:rsidRPr="00386D19">
        <w:rPr>
          <w:rFonts w:ascii="Calibri" w:eastAsia="Calibri" w:hAnsi="Calibri" w:cs="Times New Roman"/>
          <w:sz w:val="24"/>
          <w:szCs w:val="24"/>
          <w:lang w:val="en-US"/>
        </w:rPr>
        <w:t>Chalmers</w:t>
      </w:r>
      <w:r>
        <w:rPr>
          <w:rFonts w:ascii="Calibri" w:eastAsia="Calibri" w:hAnsi="Calibri" w:cs="Times New Roman"/>
          <w:sz w:val="24"/>
          <w:szCs w:val="24"/>
          <w:lang w:val="en-US"/>
        </w:rPr>
        <w:t>,</w:t>
      </w:r>
      <w:r w:rsidRPr="00386D19">
        <w:rPr>
          <w:rFonts w:ascii="Calibri" w:eastAsia="Calibri" w:hAnsi="Calibri" w:cs="Times New Roman"/>
          <w:sz w:val="24"/>
          <w:szCs w:val="24"/>
          <w:lang w:val="en-US"/>
        </w:rPr>
        <w:t xml:space="preserve"> Survival of human</w:t>
      </w:r>
      <w:r>
        <w:rPr>
          <w:rFonts w:ascii="Calibri" w:eastAsia="Calibri" w:hAnsi="Calibri" w:cs="Times New Roman"/>
          <w:sz w:val="24"/>
          <w:szCs w:val="24"/>
          <w:lang w:val="en-US"/>
        </w:rPr>
        <w:t xml:space="preserve"> carrier erythrocytes in vivo,</w:t>
      </w:r>
      <w:r w:rsidRPr="00386D19">
        <w:rPr>
          <w:rFonts w:ascii="Calibri" w:eastAsia="Calibri" w:hAnsi="Calibri" w:cs="Times New Roman"/>
          <w:sz w:val="24"/>
          <w:szCs w:val="24"/>
          <w:lang w:val="en-US"/>
        </w:rPr>
        <w:t xml:space="preserve"> Clin</w:t>
      </w:r>
      <w:r>
        <w:rPr>
          <w:rFonts w:ascii="Calibri" w:eastAsia="Calibri" w:hAnsi="Calibri" w:cs="Times New Roman"/>
          <w:sz w:val="24"/>
          <w:szCs w:val="24"/>
          <w:lang w:val="en-US"/>
        </w:rPr>
        <w:t>.</w:t>
      </w:r>
      <w:r w:rsidRPr="00386D19">
        <w:rPr>
          <w:rFonts w:ascii="Calibri" w:eastAsia="Calibri" w:hAnsi="Calibri" w:cs="Times New Roman"/>
          <w:sz w:val="24"/>
          <w:szCs w:val="24"/>
          <w:lang w:val="en-US"/>
        </w:rPr>
        <w:t xml:space="preserve"> Sci</w:t>
      </w:r>
      <w:r>
        <w:rPr>
          <w:rFonts w:ascii="Calibri" w:eastAsia="Calibri" w:hAnsi="Calibri" w:cs="Times New Roman"/>
          <w:sz w:val="24"/>
          <w:szCs w:val="24"/>
          <w:lang w:val="en-US"/>
        </w:rPr>
        <w:t>. (Lond.)</w:t>
      </w:r>
      <w:r w:rsidRPr="00386D19">
        <w:rPr>
          <w:rFonts w:ascii="Calibri" w:eastAsia="Calibri" w:hAnsi="Calibri" w:cs="Times New Roman"/>
          <w:sz w:val="24"/>
          <w:szCs w:val="24"/>
          <w:lang w:val="en-US"/>
        </w:rPr>
        <w:t xml:space="preserve"> </w:t>
      </w:r>
      <w:r>
        <w:rPr>
          <w:rFonts w:ascii="Calibri" w:eastAsia="Calibri" w:hAnsi="Calibri" w:cs="Times New Roman"/>
          <w:sz w:val="24"/>
          <w:szCs w:val="24"/>
          <w:lang w:val="en-US"/>
        </w:rPr>
        <w:t>96(2) (</w:t>
      </w:r>
      <w:r w:rsidRPr="00386D19">
        <w:rPr>
          <w:rFonts w:ascii="Calibri" w:eastAsia="Calibri" w:hAnsi="Calibri" w:cs="Times New Roman"/>
          <w:sz w:val="24"/>
          <w:szCs w:val="24"/>
          <w:lang w:val="en-US"/>
        </w:rPr>
        <w:t>1999</w:t>
      </w:r>
      <w:r>
        <w:rPr>
          <w:rFonts w:ascii="Calibri" w:eastAsia="Calibri" w:hAnsi="Calibri" w:cs="Times New Roman"/>
          <w:sz w:val="24"/>
          <w:szCs w:val="24"/>
          <w:lang w:val="en-US"/>
        </w:rPr>
        <w:t>)</w:t>
      </w:r>
      <w:r w:rsidRPr="00386D19">
        <w:rPr>
          <w:rFonts w:ascii="Calibri" w:eastAsia="Calibri" w:hAnsi="Calibri" w:cs="Times New Roman"/>
          <w:sz w:val="24"/>
          <w:szCs w:val="24"/>
          <w:lang w:val="en-US"/>
        </w:rPr>
        <w:t xml:space="preserve"> 171-8.</w:t>
      </w:r>
    </w:p>
    <w:p w14:paraId="5A8AE140"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 xml:space="preserve">[30] </w:t>
      </w:r>
      <w:r w:rsidRPr="007E4E64">
        <w:rPr>
          <w:rFonts w:ascii="Calibri" w:eastAsia="Calibri" w:hAnsi="Calibri" w:cs="Times New Roman"/>
          <w:sz w:val="24"/>
          <w:szCs w:val="24"/>
          <w:lang w:val="en-US"/>
        </w:rPr>
        <w:t>M. Magnani, L. Rossi, M. D'ascenzo, I. Panzani, L. Bigi, A. Zanella, Erythrocyte engineering for drug delivery and targeting, Biotechnol. Appl. Biochem. 28 (1998) 1-6.</w:t>
      </w:r>
    </w:p>
    <w:p w14:paraId="1CF03330" w14:textId="77777777" w:rsidR="005A0E3D" w:rsidRPr="007E4E64" w:rsidRDefault="002871DB" w:rsidP="005A0E3D">
      <w:pPr>
        <w:autoSpaceDE w:val="0"/>
        <w:autoSpaceDN w:val="0"/>
        <w:adjustRightInd w:val="0"/>
        <w:spacing w:after="0" w:line="240" w:lineRule="auto"/>
        <w:jc w:val="both"/>
        <w:rPr>
          <w:rFonts w:ascii="Calibri" w:eastAsia="Calibri" w:hAnsi="Calibri" w:cs="Times New Roman"/>
          <w:sz w:val="24"/>
          <w:szCs w:val="24"/>
          <w:lang w:val="en-US"/>
        </w:rPr>
      </w:pPr>
      <w:r w:rsidRPr="002871DB">
        <w:rPr>
          <w:rFonts w:ascii="Calibri" w:eastAsia="Calibri" w:hAnsi="Calibri" w:cs="Times New Roman"/>
          <w:sz w:val="24"/>
          <w:szCs w:val="24"/>
          <w:lang w:val="en-US"/>
        </w:rPr>
        <w:t xml:space="preserve">[31] </w:t>
      </w:r>
      <w:r w:rsidRPr="002871DB">
        <w:rPr>
          <w:rFonts w:ascii="Calibri" w:eastAsia="Calibri" w:hAnsi="Calibri" w:cs="Arial"/>
          <w:sz w:val="24"/>
          <w:szCs w:val="24"/>
          <w:shd w:val="clear" w:color="auto" w:fill="FFFFFF"/>
          <w:lang w:val="en-US"/>
        </w:rPr>
        <w:t>V.R. Muzykantov</w:t>
      </w:r>
      <w:r w:rsidRPr="002871DB">
        <w:rPr>
          <w:rFonts w:ascii="Calibri" w:eastAsia="Calibri" w:hAnsi="Calibri" w:cs="AdvPA183"/>
          <w:sz w:val="24"/>
          <w:szCs w:val="24"/>
          <w:lang w:val="en-US"/>
        </w:rPr>
        <w:t xml:space="preserve"> et al. </w:t>
      </w:r>
      <w:r w:rsidR="005A0E3D" w:rsidRPr="007E4E64">
        <w:rPr>
          <w:rFonts w:ascii="Calibri" w:eastAsia="Calibri" w:hAnsi="Calibri" w:cs="Times New Roman"/>
          <w:sz w:val="24"/>
          <w:szCs w:val="24"/>
          <w:lang w:val="en-US"/>
        </w:rPr>
        <w:t xml:space="preserve">Adv. Drug Deliv. Rev. (2016) </w:t>
      </w:r>
      <w:r w:rsidR="005A0E3D" w:rsidRPr="007E4E64">
        <w:rPr>
          <w:rFonts w:ascii="Calibri" w:eastAsia="Calibri" w:hAnsi="Calibri" w:cs="AdvPA183"/>
          <w:sz w:val="24"/>
          <w:szCs w:val="24"/>
          <w:lang w:val="en-US"/>
        </w:rPr>
        <w:t>current issue.</w:t>
      </w:r>
    </w:p>
    <w:p w14:paraId="45E8713C" w14:textId="77777777" w:rsidR="005A0E3D" w:rsidRDefault="005A0E3D" w:rsidP="005A0E3D">
      <w:pPr>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32</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J.K. Dozier, M.D. Distefano,</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Site-Specific PEGylation of Therapeutic Proteins, Int. J. Mol. Sci. 16(10) (2015) 25831-25864.</w:t>
      </w:r>
    </w:p>
    <w:p w14:paraId="014CD880"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33</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M. Werle, A. Bernkop-Schnürch, Strategies to improve plasma half life time of peptide and protein drugs, Amino Acids 30(4) (2006) 351-367.</w:t>
      </w:r>
    </w:p>
    <w:p w14:paraId="7C1A67D6" w14:textId="77777777" w:rsidR="005A0E3D" w:rsidRDefault="005A0E3D" w:rsidP="005A0E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libri" w:eastAsia="Calibri" w:hAnsi="Calibri" w:cs="AdvTT5235d5a9"/>
          <w:color w:val="000000"/>
          <w:sz w:val="24"/>
          <w:szCs w:val="24"/>
          <w:lang w:val="en-US"/>
        </w:rPr>
      </w:pPr>
      <w:r w:rsidRPr="007E4E64">
        <w:rPr>
          <w:rFonts w:ascii="Calibri" w:eastAsia="Times New Roman" w:hAnsi="Calibri" w:cs="Courier New"/>
          <w:sz w:val="24"/>
          <w:szCs w:val="24"/>
          <w:lang w:val="en-US"/>
        </w:rPr>
        <w:t>[</w:t>
      </w:r>
      <w:r>
        <w:rPr>
          <w:rFonts w:ascii="Calibri" w:eastAsia="Calibri" w:hAnsi="Calibri" w:cs="AdvTT5235d5a9"/>
          <w:color w:val="000000"/>
          <w:sz w:val="24"/>
          <w:szCs w:val="24"/>
          <w:lang w:val="en-US"/>
        </w:rPr>
        <w:t>34</w:t>
      </w:r>
      <w:r w:rsidRPr="007E4E64">
        <w:rPr>
          <w:rFonts w:ascii="Calibri" w:eastAsia="Calibri" w:hAnsi="Calibri" w:cs="AdvTT5235d5a9"/>
          <w:color w:val="000000"/>
          <w:sz w:val="24"/>
          <w:szCs w:val="24"/>
          <w:lang w:val="en-US"/>
        </w:rPr>
        <w:t>] S. Jevsevar, M. Kunstelj, V.G. Porekar, PEGylation of therapeutic proteins, Biotechnol J. 5(1) (2010) 113-28.</w:t>
      </w:r>
    </w:p>
    <w:p w14:paraId="1C0E6592"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35</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I. Zündorf, T. Dingermann, PEGylation--a well-proven strategy for the improvement of recombinant drugs, Pharmazie 69(5) (2014) 323-326.</w:t>
      </w:r>
    </w:p>
    <w:p w14:paraId="6F5B558C"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36</w:t>
      </w:r>
      <w:r w:rsidRPr="007E4E64">
        <w:rPr>
          <w:rFonts w:ascii="Calibri" w:eastAsia="Calibri" w:hAnsi="Calibri" w:cs="Times New Roman"/>
          <w:sz w:val="24"/>
          <w:szCs w:val="24"/>
          <w:lang w:val="en-US"/>
        </w:rPr>
        <w:t>] C. Delgado, G.E. Francis, D. Fisher, The uses and properties of PEG</w:t>
      </w:r>
      <w:r w:rsidR="00B2589E">
        <w:rPr>
          <w:rFonts w:ascii="Calibri" w:eastAsia="Calibri" w:hAnsi="Calibri" w:cs="Times New Roman"/>
          <w:sz w:val="24"/>
          <w:szCs w:val="24"/>
          <w:lang w:val="en-US"/>
        </w:rPr>
        <w:t>-</w:t>
      </w:r>
      <w:r w:rsidRPr="007E4E64">
        <w:rPr>
          <w:rFonts w:ascii="Calibri" w:eastAsia="Calibri" w:hAnsi="Calibri" w:cs="Times New Roman"/>
          <w:sz w:val="24"/>
          <w:szCs w:val="24"/>
          <w:lang w:val="en-US"/>
        </w:rPr>
        <w:t>linked proteins, Crit. Rev. Ther. Drug Carrier Syst. 9 (1992) 249-304.</w:t>
      </w:r>
    </w:p>
    <w:p w14:paraId="1DEDCEF4" w14:textId="77777777" w:rsidR="005A0E3D"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37</w:t>
      </w:r>
      <w:r w:rsidRPr="007E4E64">
        <w:rPr>
          <w:rFonts w:ascii="Calibri" w:eastAsia="Calibri" w:hAnsi="Calibri" w:cs="Times New Roman"/>
          <w:sz w:val="24"/>
          <w:szCs w:val="24"/>
          <w:lang w:val="en-US"/>
        </w:rPr>
        <w:t>] J.M. Harris, S. Zalipsky, (Eds.), Poly(ethyleneglycol): chemistry and biological applications, ACS Books, Washington, DC, 1997, 500.</w:t>
      </w:r>
    </w:p>
    <w:p w14:paraId="47291A1E"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[38</w:t>
      </w:r>
      <w:r w:rsidRPr="007E4E64">
        <w:rPr>
          <w:rFonts w:ascii="Calibri" w:eastAsia="Calibri" w:hAnsi="Calibri" w:cs="Times New Roman"/>
          <w:sz w:val="24"/>
          <w:szCs w:val="24"/>
          <w:lang w:val="en-US"/>
        </w:rPr>
        <w:t>] R.P. Garay, R. El-Gewely, J.K. Armstrong, G. Garratty, P. Richette, Antibodies against polyethylene glycol in healthy subjects and in patients treated with PEG-conjugated agents, Expert Opin. Drug Deliv. 9(11) (2012) 1319-1323.</w:t>
      </w:r>
    </w:p>
    <w:p w14:paraId="0EDBC293"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[3</w:t>
      </w:r>
      <w:r>
        <w:rPr>
          <w:rFonts w:ascii="Calibri" w:eastAsia="Calibri" w:hAnsi="Calibri" w:cs="Times New Roman"/>
          <w:sz w:val="24"/>
          <w:szCs w:val="24"/>
          <w:lang w:val="en-US"/>
        </w:rPr>
        <w:t>9</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H. He, J. Ye, Y. Wang, Q. Liu, H.S. Chung, Y.M. Kwon, M.C. Shin, K. Lee, V.C. Yang,</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Cell-penetrating peptides meditated encapsulation of protein therapeutics into intact red blood cells and its application, J. Control. Release 176 (2014) 123-132.</w:t>
      </w:r>
    </w:p>
    <w:p w14:paraId="1FC4346E"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40</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M. Hunault-Berger, T. Leguay, F. Huguet, S. Leprêtre, E. Deconinck, M. Ojeda-Uribe, C. Bonmati, M. Escoffre-Barbe, P. Bories, C. Himberlin, P. Chevallier, P. Rousselot, O. Reman, M.L. Boulland, S. Lissandre, P. Turlure, D. Bouscary, L. Sanhes, O. Legrand, M. Lafage-Pochitaloff, M.C. Béné, D. Liens, Y. Godfrin, N. Ifrah, H. Dombret, A Phase 2 study of L-asparaginase encapsulated in erythrocytes in elderly patients with Philadelphia chromosome negative acute lymphoblastic leukemia: The GRASPALL/GRAALL-SA2-2008 study, Am. J. Hematol. 90(9) (2015) 811-818.</w:t>
      </w:r>
    </w:p>
    <w:p w14:paraId="451C2E30"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41</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 xml:space="preserve">C. Domenech, X. Thomas, S. Chabaud, A. Baruchel, F. Gueyffier, F. Mazingue, A. Auvrignon, S. Corm, H. Dombret, P. Chevallier, C. Galambrun, F. Huguet, F. Legrand, F. Mechinaud, N. Vey, I. Philip, </w:t>
      </w:r>
      <w:r w:rsidRPr="007E4E64">
        <w:rPr>
          <w:rFonts w:ascii="Calibri" w:eastAsia="Calibri" w:hAnsi="Calibri" w:cs="AdvTT5235d5a9"/>
          <w:color w:val="000000"/>
          <w:sz w:val="24"/>
          <w:szCs w:val="24"/>
          <w:lang w:val="en-US"/>
        </w:rPr>
        <w:lastRenderedPageBreak/>
        <w:t>D. Liens, Y. Godfrin, D. Rigal, Y. Bertrand, L-asparaginase loaded red blood cells in refractory or relapsing acute lymphoblastic leukaemia in children and adults: results of the GRASPALL 2005-01 randomized trial, Br. J. Haematol. 153(1) (2011) 58-65.</w:t>
      </w:r>
    </w:p>
    <w:p w14:paraId="6524B330"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42</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V. Agrawal, J.H. Woo, G. Borthakur, H. Kantarjian, A.E. Frankel, Red blood cell-encapsulated L-asparaginase: potential therapy of patients with asparagine synthetase deficient acute myeloid leukemia, Protein Pept. Lett. 20(4) (2013) 392-402.</w:t>
      </w:r>
    </w:p>
    <w:p w14:paraId="4BFB2AC7" w14:textId="77777777" w:rsidR="005A0E3D" w:rsidRPr="007E4E64" w:rsidRDefault="005A0E3D" w:rsidP="005A0E3D">
      <w:pPr>
        <w:autoSpaceDE w:val="0"/>
        <w:autoSpaceDN w:val="0"/>
        <w:adjustRightInd w:val="0"/>
        <w:spacing w:after="0" w:line="240" w:lineRule="auto"/>
        <w:jc w:val="both"/>
        <w:rPr>
          <w:rFonts w:ascii="Calibri" w:eastAsia="Calibri" w:hAnsi="Calibri" w:cs="Arial"/>
          <w:sz w:val="24"/>
          <w:szCs w:val="24"/>
          <w:shd w:val="clear" w:color="auto" w:fill="FFFFFF"/>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43</w:t>
      </w:r>
      <w:r w:rsidRPr="007E4E64">
        <w:rPr>
          <w:rFonts w:ascii="Calibri" w:eastAsia="Calibri" w:hAnsi="Calibri" w:cs="Times New Roman"/>
          <w:sz w:val="24"/>
          <w:szCs w:val="24"/>
          <w:lang w:val="en-US"/>
        </w:rPr>
        <w:t xml:space="preserve">] B.E. </w:t>
      </w:r>
      <w:hyperlink r:id="rId17" w:history="1">
        <w:r w:rsidRPr="007E4E64">
          <w:rPr>
            <w:rFonts w:ascii="Calibri" w:eastAsia="Calibri" w:hAnsi="Calibri" w:cs="Arial"/>
            <w:sz w:val="24"/>
            <w:szCs w:val="24"/>
            <w:shd w:val="clear" w:color="auto" w:fill="FFFFFF"/>
            <w:lang w:val="en-US"/>
          </w:rPr>
          <w:t>Bax</w:t>
        </w:r>
      </w:hyperlink>
      <w:r w:rsidRPr="007E4E64">
        <w:rPr>
          <w:rFonts w:ascii="Calibri" w:eastAsia="Calibri" w:hAnsi="Calibri" w:cs="Arial"/>
          <w:sz w:val="24"/>
          <w:szCs w:val="24"/>
          <w:shd w:val="clear" w:color="auto" w:fill="FFFFFF"/>
          <w:lang w:val="en-US"/>
        </w:rPr>
        <w:t xml:space="preserve">, M.D. </w:t>
      </w:r>
      <w:hyperlink r:id="rId18" w:history="1">
        <w:r w:rsidRPr="007E4E64">
          <w:rPr>
            <w:rFonts w:ascii="Calibri" w:eastAsia="Calibri" w:hAnsi="Calibri" w:cs="Arial"/>
            <w:sz w:val="24"/>
            <w:szCs w:val="24"/>
            <w:shd w:val="clear" w:color="auto" w:fill="FFFFFF"/>
            <w:lang w:val="en-US"/>
          </w:rPr>
          <w:t>Bain</w:t>
        </w:r>
      </w:hyperlink>
      <w:r w:rsidRPr="007E4E64">
        <w:rPr>
          <w:rFonts w:ascii="Calibri" w:eastAsia="Calibri" w:hAnsi="Calibri" w:cs="Arial"/>
          <w:sz w:val="24"/>
          <w:szCs w:val="24"/>
          <w:shd w:val="clear" w:color="auto" w:fill="FFFFFF"/>
          <w:lang w:val="en-US"/>
        </w:rPr>
        <w:t xml:space="preserve">, L.D. </w:t>
      </w:r>
      <w:hyperlink r:id="rId19" w:history="1">
        <w:r w:rsidRPr="007E4E64">
          <w:rPr>
            <w:rFonts w:ascii="Calibri" w:eastAsia="Calibri" w:hAnsi="Calibri" w:cs="Arial"/>
            <w:sz w:val="24"/>
            <w:szCs w:val="24"/>
            <w:shd w:val="clear" w:color="auto" w:fill="FFFFFF"/>
            <w:lang w:val="en-US"/>
          </w:rPr>
          <w:t>Fairbanks</w:t>
        </w:r>
      </w:hyperlink>
      <w:r w:rsidRPr="007E4E64">
        <w:rPr>
          <w:rFonts w:ascii="Calibri" w:eastAsia="Calibri" w:hAnsi="Calibri" w:cs="Arial"/>
          <w:sz w:val="24"/>
          <w:szCs w:val="24"/>
          <w:shd w:val="clear" w:color="auto" w:fill="FFFFFF"/>
          <w:lang w:val="en-US"/>
        </w:rPr>
        <w:t xml:space="preserve">, A.D. </w:t>
      </w:r>
      <w:hyperlink r:id="rId20" w:history="1">
        <w:r w:rsidRPr="007E4E64">
          <w:rPr>
            <w:rFonts w:ascii="Calibri" w:eastAsia="Calibri" w:hAnsi="Calibri" w:cs="Arial"/>
            <w:sz w:val="24"/>
            <w:szCs w:val="24"/>
            <w:shd w:val="clear" w:color="auto" w:fill="FFFFFF"/>
            <w:lang w:val="en-US"/>
          </w:rPr>
          <w:t>Webster</w:t>
        </w:r>
      </w:hyperlink>
      <w:r w:rsidRPr="007E4E64">
        <w:rPr>
          <w:rFonts w:ascii="Calibri" w:eastAsia="Calibri" w:hAnsi="Calibri" w:cs="Arial"/>
          <w:sz w:val="24"/>
          <w:szCs w:val="24"/>
          <w:shd w:val="clear" w:color="auto" w:fill="FFFFFF"/>
          <w:lang w:val="en-US"/>
        </w:rPr>
        <w:t xml:space="preserve">, R.A. </w:t>
      </w:r>
      <w:hyperlink r:id="rId21" w:history="1">
        <w:r w:rsidRPr="007E4E64">
          <w:rPr>
            <w:rFonts w:ascii="Calibri" w:eastAsia="Calibri" w:hAnsi="Calibri" w:cs="Arial"/>
            <w:sz w:val="24"/>
            <w:szCs w:val="24"/>
            <w:shd w:val="clear" w:color="auto" w:fill="FFFFFF"/>
            <w:lang w:val="en-US"/>
          </w:rPr>
          <w:t>Chalmers</w:t>
        </w:r>
      </w:hyperlink>
      <w:r w:rsidRPr="007E4E64">
        <w:rPr>
          <w:rFonts w:ascii="Calibri" w:eastAsia="Calibri" w:hAnsi="Calibri" w:cs="Arial"/>
          <w:sz w:val="24"/>
          <w:szCs w:val="24"/>
          <w:shd w:val="clear" w:color="auto" w:fill="FFFFFF"/>
          <w:lang w:val="en-US"/>
        </w:rPr>
        <w:t xml:space="preserve">, In vitro and in vivo studies with human carrier erythrocytes loaded with polyethylene glycol-conjugated and native adenosine deaminase, </w:t>
      </w:r>
      <w:hyperlink r:id="rId22" w:tooltip="British journal of haematology." w:history="1">
        <w:r w:rsidRPr="007E4E64">
          <w:rPr>
            <w:rFonts w:ascii="Calibri" w:eastAsia="Calibri" w:hAnsi="Calibri" w:cs="Arial"/>
            <w:sz w:val="24"/>
            <w:szCs w:val="24"/>
            <w:shd w:val="clear" w:color="auto" w:fill="FFFFFF"/>
            <w:lang w:val="en-US"/>
          </w:rPr>
          <w:t>Br. J. Haematol.</w:t>
        </w:r>
      </w:hyperlink>
      <w:r w:rsidRPr="007E4E64">
        <w:rPr>
          <w:rFonts w:ascii="Calibri" w:eastAsia="Calibri" w:hAnsi="Calibri" w:cs="Arial"/>
          <w:sz w:val="24"/>
          <w:szCs w:val="24"/>
          <w:shd w:val="clear" w:color="auto" w:fill="FFFFFF"/>
          <w:lang w:val="en-US"/>
        </w:rPr>
        <w:t xml:space="preserve"> 109(3) (2000) 549-554.</w:t>
      </w:r>
    </w:p>
    <w:p w14:paraId="7DA4F52C"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44</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B.E. Bax, M.D. Bain, L.D. Fairbanks, H.A. Simmonds, A.D. Webster, R.A. Chalmers, Carrier erythrocyte entrapped adenosine deaminase therapy in adenosine deaminase deficiency, Adv. Exp. Med. Biol. 486 (2000) 47-50.</w:t>
      </w:r>
    </w:p>
    <w:p w14:paraId="3C5E93DE"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45</w:t>
      </w:r>
      <w:r w:rsidRPr="007E4E64">
        <w:rPr>
          <w:rFonts w:ascii="Calibri" w:eastAsia="Calibri" w:hAnsi="Calibri" w:cs="Times New Roman"/>
          <w:sz w:val="24"/>
          <w:szCs w:val="24"/>
          <w:lang w:val="en-US"/>
        </w:rPr>
        <w:t>] B.E. Bax, M.D. Bain, L.D. Fairbanks, A.D. Webster, P.W. Ind, M.S. Hershfield, R.A. Chalmers, A 9-yr evaluation of carrier erythrocyte encapsulated adenosine deaminase (ADA) therapy in a patient with adult-type ADA deficiency, Eur. J. Haematol. 79(4) (2007) 338-348.</w:t>
      </w:r>
    </w:p>
    <w:p w14:paraId="135B814B" w14:textId="77777777" w:rsidR="005A0E3D" w:rsidRPr="007E4E64" w:rsidRDefault="00B2589E" w:rsidP="005A0E3D">
      <w:pPr>
        <w:spacing w:after="0" w:line="240" w:lineRule="auto"/>
        <w:jc w:val="both"/>
        <w:rPr>
          <w:rFonts w:ascii="Calibri" w:eastAsia="Calibri" w:hAnsi="Calibri" w:cs="Times New Roman"/>
          <w:sz w:val="24"/>
          <w:szCs w:val="24"/>
          <w:lang w:val="en-US"/>
        </w:rPr>
      </w:pPr>
      <w:r w:rsidRPr="007E4E64" w:rsidDel="00B2589E">
        <w:rPr>
          <w:rFonts w:ascii="Calibri" w:eastAsia="Calibri" w:hAnsi="Calibri" w:cs="Times New Roman"/>
          <w:sz w:val="24"/>
          <w:szCs w:val="24"/>
          <w:lang w:val="en-US"/>
        </w:rPr>
        <w:t xml:space="preserve"> </w:t>
      </w:r>
      <w:r w:rsidR="005A0E3D" w:rsidRPr="007E4E64">
        <w:rPr>
          <w:rFonts w:ascii="Calibri" w:eastAsia="Calibri" w:hAnsi="Calibri" w:cs="Times New Roman"/>
          <w:sz w:val="24"/>
          <w:szCs w:val="24"/>
          <w:lang w:val="en-US"/>
        </w:rPr>
        <w:t>[4</w:t>
      </w:r>
      <w:r>
        <w:rPr>
          <w:rFonts w:ascii="Calibri" w:eastAsia="Calibri" w:hAnsi="Calibri" w:cs="Times New Roman"/>
          <w:sz w:val="24"/>
          <w:szCs w:val="24"/>
          <w:lang w:val="en-US"/>
        </w:rPr>
        <w:t>6</w:t>
      </w:r>
      <w:r w:rsidR="005A0E3D" w:rsidRPr="007E4E64">
        <w:rPr>
          <w:rFonts w:ascii="Calibri" w:eastAsia="Calibri" w:hAnsi="Calibri" w:cs="Times New Roman"/>
          <w:sz w:val="24"/>
          <w:szCs w:val="24"/>
          <w:lang w:val="en-US"/>
        </w:rPr>
        <w:t>] J.R. DeLoach, Dialysis method for entrapment of proteins into resealed red blood cells, in: R. Green, K.S. Widder (Eds.), Methods in Enzymology, Academic Press, San Diego, 1985, pp. 235-242.</w:t>
      </w:r>
    </w:p>
    <w:p w14:paraId="387BE553"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[4</w:t>
      </w:r>
      <w:r w:rsidR="00B2589E">
        <w:rPr>
          <w:rFonts w:ascii="Calibri" w:eastAsia="Calibri" w:hAnsi="Calibri" w:cs="Times New Roman"/>
          <w:sz w:val="24"/>
          <w:szCs w:val="24"/>
          <w:lang w:val="en-US"/>
        </w:rPr>
        <w:t>7</w:t>
      </w:r>
      <w:r w:rsidRPr="007E4E64">
        <w:rPr>
          <w:rFonts w:ascii="Calibri" w:eastAsia="Calibri" w:hAnsi="Calibri" w:cs="Times New Roman"/>
          <w:sz w:val="24"/>
          <w:szCs w:val="24"/>
          <w:lang w:val="en-US"/>
        </w:rPr>
        <w:t>] U. Sprandel, Erythrocytes as carrier for therapeutic enzymes-an approach towards enzyme therapy of inborn errors of metabolism, Bibl. Haematol. 51 (1985) 7-14.</w:t>
      </w:r>
    </w:p>
    <w:p w14:paraId="04197B25"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[4</w:t>
      </w:r>
      <w:r w:rsidR="00B2589E">
        <w:rPr>
          <w:rFonts w:ascii="Calibri" w:eastAsia="Calibri" w:hAnsi="Calibri" w:cs="Times New Roman"/>
          <w:sz w:val="24"/>
          <w:szCs w:val="24"/>
          <w:lang w:val="en-US"/>
        </w:rPr>
        <w:t>8</w:t>
      </w:r>
      <w:r w:rsidRPr="007E4E64">
        <w:rPr>
          <w:rFonts w:ascii="Calibri" w:eastAsia="Calibri" w:hAnsi="Calibri" w:cs="Times New Roman"/>
          <w:sz w:val="24"/>
          <w:szCs w:val="24"/>
          <w:lang w:val="en-US"/>
        </w:rPr>
        <w:t>] M.P. Cicalese, A. Aiuti, Clinical applications of gene therapy for primary immunodeficiencies, Hum. Gene Ther. 26(4) (2015) 210-219.</w:t>
      </w:r>
    </w:p>
    <w:p w14:paraId="6095F3AF"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w:t>
      </w:r>
      <w:r w:rsidR="00B2589E">
        <w:rPr>
          <w:rFonts w:ascii="Calibri" w:eastAsia="Calibri" w:hAnsi="Calibri" w:cs="Times New Roman"/>
          <w:sz w:val="24"/>
          <w:szCs w:val="24"/>
          <w:lang w:val="en-US"/>
        </w:rPr>
        <w:t>49</w:t>
      </w:r>
      <w:r w:rsidRPr="007E4E64">
        <w:rPr>
          <w:rFonts w:ascii="Calibri" w:eastAsia="Calibri" w:hAnsi="Calibri" w:cs="Times New Roman"/>
          <w:sz w:val="24"/>
          <w:szCs w:val="24"/>
          <w:lang w:val="en-US"/>
        </w:rPr>
        <w:t>] M.S. Hershfield, Combined immune deficiencies due to purine enzyme defects, in: E.R. Stiehm, H.D. Ochs, J.A. Winkelstein (Eds), Imuunologic disorders in infants and children, 5</w:t>
      </w:r>
      <w:r w:rsidRPr="007E4E64">
        <w:rPr>
          <w:rFonts w:ascii="Calibri" w:eastAsia="Calibri" w:hAnsi="Calibri" w:cs="Times New Roman"/>
          <w:sz w:val="24"/>
          <w:szCs w:val="24"/>
          <w:vertAlign w:val="superscript"/>
          <w:lang w:val="en-US"/>
        </w:rPr>
        <w:t>th</w:t>
      </w:r>
      <w:r w:rsidRPr="007E4E64">
        <w:rPr>
          <w:rFonts w:ascii="Calibri" w:eastAsia="Calibri" w:hAnsi="Calibri" w:cs="Times New Roman"/>
          <w:sz w:val="24"/>
          <w:szCs w:val="24"/>
          <w:lang w:val="en-US"/>
        </w:rPr>
        <w:t xml:space="preserve"> ed. Philadelphia, PA, W.B. Saunders, 2004, pp. 480-504.</w:t>
      </w:r>
    </w:p>
    <w:p w14:paraId="73B27815"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5</w:t>
      </w:r>
      <w:r w:rsidR="00B2589E">
        <w:rPr>
          <w:rFonts w:ascii="Calibri" w:eastAsia="Calibri" w:hAnsi="Calibri" w:cs="Times New Roman"/>
          <w:sz w:val="24"/>
          <w:szCs w:val="24"/>
          <w:lang w:val="en-US"/>
        </w:rPr>
        <w:t>0</w:t>
      </w:r>
      <w:r w:rsidRPr="007E4E64">
        <w:rPr>
          <w:rFonts w:ascii="Calibri" w:eastAsia="Calibri" w:hAnsi="Calibri" w:cs="Times New Roman"/>
          <w:sz w:val="24"/>
          <w:szCs w:val="24"/>
          <w:lang w:val="en-US"/>
        </w:rPr>
        <w:t>] M.S. Hershfield, R.H. Buckley, M.L. Greenberg, A.L. Melton, R. Schiff, C. Hatem, J. Kurtzberg, M.L. Markert, R.H. Kobayashi, A.L. Kobayashi, Treatment of adenosine deaminase deficiency with polyethylene glycol-modified adenosine deaminase, N. Engl. J. Med. 316 (1987) 589-596.</w:t>
      </w:r>
    </w:p>
    <w:p w14:paraId="20B5B2F8"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5</w:t>
      </w:r>
      <w:r w:rsidR="00B2589E">
        <w:rPr>
          <w:rFonts w:ascii="Calibri" w:eastAsia="Calibri" w:hAnsi="Calibri" w:cs="Times New Roman"/>
          <w:sz w:val="24"/>
          <w:szCs w:val="24"/>
          <w:lang w:val="en-US"/>
        </w:rPr>
        <w:t>1</w:t>
      </w:r>
      <w:r w:rsidRPr="007E4E64">
        <w:rPr>
          <w:rFonts w:ascii="Calibri" w:eastAsia="Calibri" w:hAnsi="Calibri" w:cs="Times New Roman"/>
          <w:sz w:val="24"/>
          <w:szCs w:val="24"/>
          <w:lang w:val="en-US"/>
        </w:rPr>
        <w:t>] C. Booth, M. Hershfield, L. Notarangelo, R. Buckley, M. Hoenig, N. Mahlaoui, M. Cavazzana-Calvo, A. Aiuti, H.B. Gaspar, Management options for Adenosine Deaminase deficiency; proceedings of the EBMT satellite workshop (Hamburg, March 2006), Clin. Immunol. 132 (2007) 139-147.</w:t>
      </w:r>
    </w:p>
    <w:p w14:paraId="759F98F3"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5</w:t>
      </w:r>
      <w:r w:rsidR="00B2589E">
        <w:rPr>
          <w:rFonts w:ascii="Calibri" w:eastAsia="Calibri" w:hAnsi="Calibri" w:cs="Times New Roman"/>
          <w:sz w:val="24"/>
          <w:szCs w:val="24"/>
          <w:lang w:val="en-US"/>
        </w:rPr>
        <w:t>2</w:t>
      </w:r>
      <w:r w:rsidRPr="007E4E64">
        <w:rPr>
          <w:rFonts w:ascii="Calibri" w:eastAsia="Calibri" w:hAnsi="Calibri" w:cs="Times New Roman"/>
          <w:sz w:val="24"/>
          <w:szCs w:val="24"/>
          <w:lang w:val="en-US"/>
        </w:rPr>
        <w:t>] R. Baffelli, L.D. Notarangelo, L. Imberti, M.S. Hershfield, F. Serana, I. Santisteban, F. Bolda, F. Porta, A. Lanfranchi, Diagnosis, Treatment and Long-Term Follow Up of Patients with ADA Deficiency: a Single-Center Experience, J. Clin. Immunol. 35(7) (2015) 624-637.</w:t>
      </w:r>
    </w:p>
    <w:p w14:paraId="06BB9FB6"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5</w:t>
      </w:r>
      <w:r w:rsidR="00B2589E">
        <w:rPr>
          <w:rFonts w:ascii="Calibri" w:eastAsia="Calibri" w:hAnsi="Calibri" w:cs="Times New Roman"/>
          <w:sz w:val="24"/>
          <w:szCs w:val="24"/>
          <w:lang w:val="en-US"/>
        </w:rPr>
        <w:t>3</w:t>
      </w:r>
      <w:r w:rsidRPr="007E4E64">
        <w:rPr>
          <w:rFonts w:ascii="Calibri" w:eastAsia="Calibri" w:hAnsi="Calibri" w:cs="Times New Roman"/>
          <w:sz w:val="24"/>
          <w:szCs w:val="24"/>
          <w:lang w:val="en-US"/>
        </w:rPr>
        <w:t>] H.M. Tartibi, M.S. Hershfield, S.L. Bahna, A 24-Year Enzyme Replacement Therapy in an Adenosine-deaminase-Deficient Patient, Pediatrics 137(1) (2016) 1-5.</w:t>
      </w:r>
    </w:p>
    <w:p w14:paraId="66EABF4A"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[5</w:t>
      </w:r>
      <w:r w:rsidR="00B2589E">
        <w:rPr>
          <w:rFonts w:ascii="Calibri" w:eastAsia="Calibri" w:hAnsi="Calibri" w:cs="Times New Roman"/>
          <w:sz w:val="24"/>
          <w:szCs w:val="24"/>
          <w:lang w:val="en-US"/>
        </w:rPr>
        <w:t>4</w:t>
      </w:r>
      <w:r w:rsidRPr="007E4E64">
        <w:rPr>
          <w:rFonts w:ascii="Calibri" w:eastAsia="Calibri" w:hAnsi="Calibri" w:cs="Times New Roman"/>
          <w:sz w:val="24"/>
          <w:szCs w:val="24"/>
          <w:lang w:val="en-US"/>
        </w:rPr>
        <w:t>] I. Nishino, A. Spinazzola, A. Papadimitriou, S. Hammans, I. Steiner, C.D. Hahn, A.M. Connolly, A. Verloes, J. Guimarães, I. Maillard, H. Hamano, M.A. Donati, C.E. Semrad, J.A. Russell, A.L. Andreu, G.M. Hadjigeorgiou, T.H. Vu, S. Tadesse, T.G. Nygaard, I. Nonaka, I. Hirano, E. Bonilla, L.P. Rowland, S. DiMauro, M. Hirano, Mitochondrial neurogastrointestinal encephalomyopathy: an autosomal recessive disorder due to thymidine phosphorylase mutations, Ann. Neurol. 47(6) (2000) 792-800.</w:t>
      </w:r>
    </w:p>
    <w:p w14:paraId="56B9603C"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[5</w:t>
      </w:r>
      <w:r w:rsidR="00B2589E">
        <w:rPr>
          <w:rFonts w:ascii="Calibri" w:eastAsia="Calibri" w:hAnsi="Calibri" w:cs="Times New Roman"/>
          <w:sz w:val="24"/>
          <w:szCs w:val="24"/>
          <w:lang w:val="en-US"/>
        </w:rPr>
        <w:t>5</w:t>
      </w:r>
      <w:r w:rsidRPr="007E4E64">
        <w:rPr>
          <w:rFonts w:ascii="Calibri" w:eastAsia="Calibri" w:hAnsi="Calibri" w:cs="Times New Roman"/>
          <w:sz w:val="24"/>
          <w:szCs w:val="24"/>
          <w:lang w:val="en-US"/>
        </w:rPr>
        <w:t>] L.D. Fairbanks, A.M. Marinaki, E.A. Carrey, S.R. Hammans, J.A. Duley, Deoxyuridine accumulation in urine in thymidine phosphorylase deficiency (MNGIE), J. Inherit. Metab. Dis. 25(7) (2002) 603-604.</w:t>
      </w:r>
    </w:p>
    <w:p w14:paraId="20ADBC49" w14:textId="77777777" w:rsidR="005A0E3D"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AdvTT5843c571"/>
          <w:sz w:val="24"/>
          <w:szCs w:val="24"/>
          <w:lang w:val="en-US"/>
        </w:rPr>
        <w:t>[5</w:t>
      </w:r>
      <w:r w:rsidR="00B2589E">
        <w:rPr>
          <w:rFonts w:ascii="Calibri" w:eastAsia="Calibri" w:hAnsi="Calibri" w:cs="AdvTT5843c571"/>
          <w:sz w:val="24"/>
          <w:szCs w:val="24"/>
          <w:lang w:val="en-US"/>
        </w:rPr>
        <w:t>6</w:t>
      </w:r>
      <w:r w:rsidRPr="007E4E64">
        <w:rPr>
          <w:rFonts w:ascii="Calibri" w:eastAsia="Calibri" w:hAnsi="Calibri" w:cs="AdvTT5843c571"/>
          <w:sz w:val="24"/>
          <w:szCs w:val="24"/>
          <w:lang w:val="en-US"/>
        </w:rPr>
        <w:t>]</w:t>
      </w:r>
      <w:r w:rsidRPr="007E4E64">
        <w:rPr>
          <w:rFonts w:ascii="Calibri" w:eastAsia="Calibri" w:hAnsi="Calibri" w:cs="Times New Roman"/>
          <w:sz w:val="24"/>
          <w:szCs w:val="24"/>
          <w:lang w:val="en-US"/>
        </w:rPr>
        <w:t xml:space="preserve"> R. Marti, A. Spinazzola, S. Tadesse, I. Nishino, Y. Nishigaki, M. Hirano, Definitive diagnosis of mitochondrial neurogastrointestinal encephalomyopathy by biochemical assays, Clin. Chem. 50 (2004) 120-124.</w:t>
      </w:r>
    </w:p>
    <w:p w14:paraId="441CF1DE" w14:textId="77777777" w:rsidR="005A0E3D" w:rsidRPr="007E4E64" w:rsidRDefault="005A0E3D" w:rsidP="005A0E3D">
      <w:pPr>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843c571"/>
          <w:sz w:val="24"/>
          <w:szCs w:val="24"/>
          <w:lang w:val="en-US"/>
        </w:rPr>
        <w:lastRenderedPageBreak/>
        <w:t>[</w:t>
      </w:r>
      <w:r>
        <w:rPr>
          <w:rFonts w:ascii="Calibri" w:eastAsia="Calibri" w:hAnsi="Calibri" w:cs="AdvTT5843c571"/>
          <w:sz w:val="24"/>
          <w:szCs w:val="24"/>
          <w:lang w:val="en-US"/>
        </w:rPr>
        <w:t>5</w:t>
      </w:r>
      <w:r w:rsidR="00B2589E">
        <w:rPr>
          <w:rFonts w:ascii="Calibri" w:eastAsia="Calibri" w:hAnsi="Calibri" w:cs="AdvTT5843c571"/>
          <w:sz w:val="24"/>
          <w:szCs w:val="24"/>
          <w:lang w:val="en-US"/>
        </w:rPr>
        <w:t>7</w:t>
      </w:r>
      <w:r w:rsidRPr="007E4E64">
        <w:rPr>
          <w:rFonts w:ascii="Calibri" w:eastAsia="Calibri" w:hAnsi="Calibri" w:cs="AdvTT5843c571"/>
          <w:sz w:val="24"/>
          <w:szCs w:val="24"/>
          <w:lang w:val="en-US"/>
        </w:rPr>
        <w:t xml:space="preserve">] </w:t>
      </w:r>
      <w:r w:rsidRPr="007E4E64">
        <w:rPr>
          <w:rFonts w:ascii="Calibri" w:eastAsia="Calibri" w:hAnsi="Calibri" w:cs="AdvTT5235d5a9"/>
          <w:color w:val="000000"/>
          <w:sz w:val="24"/>
          <w:szCs w:val="24"/>
          <w:lang w:val="en-US"/>
        </w:rPr>
        <w:t>B.E. Bax, M.D. Bain, M. Scarpelli, M. Filosto, P. Tonin, N. Moran, Clinical and biochemical improvements in a patient with MNGIE following enzyme replacement, Neurology 81(14) (2013) 1269-1271.</w:t>
      </w:r>
    </w:p>
    <w:p w14:paraId="2577B814" w14:textId="77777777" w:rsidR="005A0E3D" w:rsidRPr="007E4E64" w:rsidRDefault="005A0E3D" w:rsidP="005A0E3D">
      <w:pPr>
        <w:autoSpaceDE w:val="0"/>
        <w:autoSpaceDN w:val="0"/>
        <w:adjustRightInd w:val="0"/>
        <w:spacing w:after="0" w:line="240" w:lineRule="auto"/>
        <w:jc w:val="both"/>
        <w:rPr>
          <w:rFonts w:ascii="Calibri" w:eastAsia="Calibri" w:hAnsi="Calibri" w:cs="AdvTT5843c571"/>
          <w:sz w:val="24"/>
          <w:szCs w:val="24"/>
          <w:lang w:val="en-US"/>
        </w:rPr>
      </w:pPr>
      <w:r>
        <w:rPr>
          <w:rFonts w:ascii="Calibri" w:eastAsia="Calibri" w:hAnsi="Calibri" w:cs="AdvTT5843c571"/>
          <w:sz w:val="24"/>
          <w:szCs w:val="24"/>
          <w:lang w:val="en-US"/>
        </w:rPr>
        <w:t>[5</w:t>
      </w:r>
      <w:r w:rsidR="00B2589E">
        <w:rPr>
          <w:rFonts w:ascii="Calibri" w:eastAsia="Calibri" w:hAnsi="Calibri" w:cs="AdvTT5843c571"/>
          <w:sz w:val="24"/>
          <w:szCs w:val="24"/>
          <w:lang w:val="en-US"/>
        </w:rPr>
        <w:t>8</w:t>
      </w:r>
      <w:r w:rsidRPr="007E4E64">
        <w:rPr>
          <w:rFonts w:ascii="Calibri" w:eastAsia="Calibri" w:hAnsi="Calibri" w:cs="AdvTT5843c571"/>
          <w:sz w:val="24"/>
          <w:szCs w:val="24"/>
          <w:lang w:val="en-US"/>
        </w:rPr>
        <w:t>] J.P. Halter, W. Michael, M. Schüpbach, H. Mandel, C. Casali, K. Orchard, M. Collin, D. Valcarcel, A. Rovelli, M. Filosto, M.T. Dotti, G. Marotta, G. Pintos, P. Barba, A. Accarino, C. Ferra, I. Illa, Y. Beguin, J.A. Bakker, J.J. Boelens, I.F. de Coo, K. Fay, C.M. Sue, D. Nachbaur, H. Zoller, C. Sobreira, B. Pinto Simoes, S.R. Hammans, D. Savage, R. Martí, P.F. Chinnery, R. Elhasid, A. Gratwohl, M. Hirano, Allogeneic haematopoietic stem cell transplantation for mitochondrial neurogastrointestinal encephalomyopathy, Brain 138 (2015) 2847-2858.</w:t>
      </w:r>
    </w:p>
    <w:p w14:paraId="7CDD965A" w14:textId="77777777" w:rsidR="005A0E3D" w:rsidRPr="007E4E64" w:rsidRDefault="005A0E3D" w:rsidP="005A0E3D">
      <w:pPr>
        <w:spacing w:after="0" w:line="240" w:lineRule="auto"/>
        <w:jc w:val="both"/>
        <w:rPr>
          <w:rFonts w:ascii="Calibri" w:eastAsia="Calibri" w:hAnsi="Calibri" w:cs="AdvTT5843c571"/>
          <w:sz w:val="24"/>
          <w:szCs w:val="24"/>
          <w:lang w:val="en-US"/>
        </w:rPr>
      </w:pPr>
      <w:r w:rsidRPr="007E4E64">
        <w:rPr>
          <w:rFonts w:ascii="Calibri" w:eastAsia="Calibri" w:hAnsi="Calibri" w:cs="AdvTT5843c571"/>
          <w:sz w:val="24"/>
          <w:szCs w:val="24"/>
          <w:lang w:val="en-US"/>
        </w:rPr>
        <w:t>[</w:t>
      </w:r>
      <w:r w:rsidR="00B2589E">
        <w:rPr>
          <w:rFonts w:ascii="Calibri" w:eastAsia="Calibri" w:hAnsi="Calibri" w:cs="AdvTT5843c571"/>
          <w:sz w:val="24"/>
          <w:szCs w:val="24"/>
          <w:lang w:val="en-US"/>
        </w:rPr>
        <w:t>59</w:t>
      </w:r>
      <w:r w:rsidRPr="007E4E64">
        <w:rPr>
          <w:rFonts w:ascii="Calibri" w:eastAsia="Calibri" w:hAnsi="Calibri" w:cs="AdvTT5843c571"/>
          <w:sz w:val="24"/>
          <w:szCs w:val="24"/>
          <w:lang w:val="en-US"/>
        </w:rPr>
        <w:t xml:space="preserve">] </w:t>
      </w:r>
      <w:r w:rsidRPr="007E4E64">
        <w:rPr>
          <w:rFonts w:ascii="Calibri" w:eastAsia="Calibri" w:hAnsi="Calibri" w:cs="Times New Roman"/>
          <w:sz w:val="24"/>
          <w:szCs w:val="24"/>
          <w:lang w:val="en-US"/>
        </w:rPr>
        <w:t>C.N. Sarkissian, Z. Shao, F. Blain, R. Peevers, H. Su, R. Heft, T.M. Chang, CR. Scriver, A different approach to treatment of phenylketonuria: Phenylalanine degradation with recombinant phenylalanine ammonia lyase, Proc. Natl. Acad. Sci. USA 96 (1999) 2339-2344.</w:t>
      </w:r>
    </w:p>
    <w:p w14:paraId="5BDDF8A6"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AdvTT5843c571"/>
          <w:sz w:val="24"/>
          <w:szCs w:val="24"/>
          <w:lang w:val="en-US"/>
        </w:rPr>
        <w:t>[</w:t>
      </w:r>
      <w:r w:rsidRPr="007E4E64">
        <w:rPr>
          <w:rFonts w:ascii="Calibri" w:eastAsia="Calibri" w:hAnsi="Calibri" w:cs="AdvTT5843c571"/>
          <w:sz w:val="24"/>
          <w:szCs w:val="24"/>
          <w:lang w:val="en-US"/>
        </w:rPr>
        <w:t>6</w:t>
      </w:r>
      <w:r w:rsidR="00B2589E">
        <w:rPr>
          <w:rFonts w:ascii="Calibri" w:eastAsia="Calibri" w:hAnsi="Calibri" w:cs="AdvTT5843c571"/>
          <w:sz w:val="24"/>
          <w:szCs w:val="24"/>
          <w:lang w:val="en-US"/>
        </w:rPr>
        <w:t>0</w:t>
      </w:r>
      <w:r w:rsidRPr="007E4E64">
        <w:rPr>
          <w:rFonts w:ascii="Calibri" w:eastAsia="Calibri" w:hAnsi="Calibri" w:cs="AdvTT5843c571"/>
          <w:sz w:val="24"/>
          <w:szCs w:val="24"/>
          <w:lang w:val="en-US"/>
        </w:rPr>
        <w:t xml:space="preserve">] </w:t>
      </w:r>
      <w:r w:rsidRPr="007E4E64">
        <w:rPr>
          <w:rFonts w:ascii="Calibri" w:eastAsia="Calibri" w:hAnsi="Calibri" w:cs="Times New Roman"/>
          <w:sz w:val="24"/>
          <w:szCs w:val="24"/>
          <w:lang w:val="en-US"/>
        </w:rPr>
        <w:t>J. Liu, X. Jia, J. Zhang, H. Xiang, W. Hu, Y. Zhou, Study on a novel strategy to treatment of phenylketonuria, Artif. Cells Blood Substit. Immobil. Biotechnol. 30 (2002) 243-257.</w:t>
      </w:r>
    </w:p>
    <w:p w14:paraId="6D98DF2E" w14:textId="77777777" w:rsidR="005A0E3D" w:rsidRPr="007E4E64" w:rsidRDefault="005A0E3D" w:rsidP="005A0E3D">
      <w:pPr>
        <w:spacing w:after="0" w:line="240" w:lineRule="auto"/>
        <w:jc w:val="both"/>
        <w:rPr>
          <w:rFonts w:ascii="Calibri" w:eastAsia="Calibri" w:hAnsi="Calibri" w:cs="AdvTT5235d5a9"/>
          <w:b/>
          <w:color w:val="000000"/>
          <w:sz w:val="24"/>
          <w:szCs w:val="24"/>
          <w:lang w:val="en-US"/>
        </w:rPr>
      </w:pPr>
      <w:r>
        <w:rPr>
          <w:rFonts w:ascii="Calibri" w:eastAsia="Calibri" w:hAnsi="Calibri" w:cs="AdvTT5843c571"/>
          <w:sz w:val="24"/>
          <w:szCs w:val="24"/>
          <w:lang w:val="en-US"/>
        </w:rPr>
        <w:t>[6</w:t>
      </w:r>
      <w:r w:rsidR="00B2589E">
        <w:rPr>
          <w:rFonts w:ascii="Calibri" w:eastAsia="Calibri" w:hAnsi="Calibri" w:cs="AdvTT5843c571"/>
          <w:sz w:val="24"/>
          <w:szCs w:val="24"/>
          <w:lang w:val="en-US"/>
        </w:rPr>
        <w:t>1</w:t>
      </w:r>
      <w:r w:rsidRPr="007E4E64">
        <w:rPr>
          <w:rFonts w:ascii="Calibri" w:eastAsia="Calibri" w:hAnsi="Calibri" w:cs="AdvTT5843c571"/>
          <w:sz w:val="24"/>
          <w:szCs w:val="24"/>
          <w:lang w:val="en-US"/>
        </w:rPr>
        <w:t xml:space="preserve">] </w:t>
      </w:r>
      <w:r w:rsidRPr="007E4E64">
        <w:rPr>
          <w:rFonts w:ascii="Calibri" w:eastAsia="Calibri" w:hAnsi="Calibri" w:cs="Times New Roman"/>
          <w:sz w:val="24"/>
          <w:szCs w:val="24"/>
          <w:lang w:val="en-US"/>
        </w:rPr>
        <w:t>S. Safos, T.M. Chang, Enzyme replacement therapy in ENU2 phenylketonuric mice using oral microencapsulated phenylalanine ammonia-lyase: A preliminary report, Artif. Cells Blood Substit. Immobil. Biotechnol. 23 (1995) 681-692.</w:t>
      </w:r>
    </w:p>
    <w:p w14:paraId="1CB6D09D" w14:textId="77777777" w:rsidR="005A0E3D" w:rsidRPr="007E4E64" w:rsidRDefault="005A0E3D" w:rsidP="005A0E3D">
      <w:pPr>
        <w:autoSpaceDE w:val="0"/>
        <w:autoSpaceDN w:val="0"/>
        <w:adjustRightInd w:val="0"/>
        <w:spacing w:after="0" w:line="240" w:lineRule="auto"/>
        <w:jc w:val="both"/>
        <w:rPr>
          <w:rFonts w:ascii="Calibri" w:eastAsia="Calibri" w:hAnsi="Calibri" w:cs="AdvTT5843c571"/>
          <w:sz w:val="24"/>
          <w:szCs w:val="24"/>
          <w:lang w:val="en-US"/>
        </w:rPr>
      </w:pPr>
      <w:r>
        <w:rPr>
          <w:rFonts w:ascii="Calibri" w:eastAsia="Calibri" w:hAnsi="Calibri" w:cs="AdvTT5843c571"/>
          <w:sz w:val="24"/>
          <w:szCs w:val="24"/>
          <w:lang w:val="en-US"/>
        </w:rPr>
        <w:t>[6</w:t>
      </w:r>
      <w:r w:rsidR="00B2589E">
        <w:rPr>
          <w:rFonts w:ascii="Calibri" w:eastAsia="Calibri" w:hAnsi="Calibri" w:cs="AdvTT5843c571"/>
          <w:sz w:val="24"/>
          <w:szCs w:val="24"/>
          <w:lang w:val="en-US"/>
        </w:rPr>
        <w:t>2</w:t>
      </w:r>
      <w:r w:rsidRPr="007E4E64">
        <w:rPr>
          <w:rFonts w:ascii="Calibri" w:eastAsia="Calibri" w:hAnsi="Calibri" w:cs="AdvTT5843c571"/>
          <w:sz w:val="24"/>
          <w:szCs w:val="24"/>
          <w:lang w:val="en-US"/>
        </w:rPr>
        <w:t>] A. Gámez, C.N. Sarkissian, L. Wang, W. Kim, M. Straub, M.G. Patch, L. Chen, S. Striepeke, P. Fitzpatrick, J.F. Lemontt, C. O'Neill, C.R. Scriver, R.C. Stevens, Development of pegylated forms of recombinant Rhodosporidium toruloides phenylalanine ammonia-lyase for the treatment of classical phenylketonuria, Mol. Ther. 11(6) (2005) 986-989.</w:t>
      </w:r>
    </w:p>
    <w:p w14:paraId="2C6DD5E7" w14:textId="77777777" w:rsidR="005A0E3D" w:rsidRPr="007E4E64" w:rsidRDefault="005A0E3D" w:rsidP="005A0E3D">
      <w:pPr>
        <w:spacing w:after="0" w:line="240" w:lineRule="auto"/>
        <w:jc w:val="both"/>
        <w:rPr>
          <w:rFonts w:ascii="Calibri" w:eastAsia="Calibri" w:hAnsi="Calibri" w:cs="AdvTT5235d5a9"/>
          <w:color w:val="000000"/>
          <w:sz w:val="24"/>
          <w:szCs w:val="24"/>
          <w:lang w:val="en-US"/>
        </w:rPr>
      </w:pPr>
      <w:r>
        <w:rPr>
          <w:rFonts w:ascii="Calibri" w:eastAsia="Calibri" w:hAnsi="Calibri" w:cs="AdvTT5843c571"/>
          <w:sz w:val="24"/>
          <w:szCs w:val="24"/>
          <w:lang w:val="en-US"/>
        </w:rPr>
        <w:t>[6</w:t>
      </w:r>
      <w:r w:rsidR="00B2589E">
        <w:rPr>
          <w:rFonts w:ascii="Calibri" w:eastAsia="Calibri" w:hAnsi="Calibri" w:cs="AdvTT5843c571"/>
          <w:sz w:val="24"/>
          <w:szCs w:val="24"/>
          <w:lang w:val="en-US"/>
        </w:rPr>
        <w:t>3</w:t>
      </w:r>
      <w:r w:rsidRPr="007E4E64">
        <w:rPr>
          <w:rFonts w:ascii="Calibri" w:eastAsia="Calibri" w:hAnsi="Calibri" w:cs="AdvTT5843c571"/>
          <w:sz w:val="24"/>
          <w:szCs w:val="24"/>
          <w:lang w:val="en-US"/>
        </w:rPr>
        <w:t xml:space="preserve">] </w:t>
      </w:r>
      <w:r w:rsidRPr="007E4E64">
        <w:rPr>
          <w:rFonts w:ascii="Calibri" w:eastAsia="Calibri" w:hAnsi="Calibri" w:cs="AdvTT5235d5a9"/>
          <w:color w:val="000000"/>
          <w:sz w:val="24"/>
          <w:szCs w:val="24"/>
          <w:lang w:val="en-US"/>
        </w:rPr>
        <w:t>C.N. Sarkissian, A. Gámez, L. Wang, M. Charbonneau, P. Fitzpatrick, J.F. Lemontt, B. Zhao, M. Vellard, S.M. Bell, C. Henschell, A. Lambert, L. Tsuruda, R.C. Stevens, C.R. Scriver, Preclinical evaluation of multiple species of PEGylated recombinant phenylalanine ammonia lyase for the treatment of phenylketonuria, Proc. Natl. Acad. Sci. U S A 105(52) (2008) 20894-20899.</w:t>
      </w:r>
    </w:p>
    <w:p w14:paraId="0CB3C19C"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843c571"/>
          <w:sz w:val="24"/>
          <w:szCs w:val="24"/>
          <w:lang w:val="en-US"/>
        </w:rPr>
        <w:t>[6</w:t>
      </w:r>
      <w:r w:rsidR="00B2589E">
        <w:rPr>
          <w:rFonts w:ascii="Calibri" w:eastAsia="Calibri" w:hAnsi="Calibri" w:cs="AdvTT5843c571"/>
          <w:sz w:val="24"/>
          <w:szCs w:val="24"/>
          <w:lang w:val="en-US"/>
        </w:rPr>
        <w:t>4</w:t>
      </w:r>
      <w:r w:rsidRPr="007E4E64">
        <w:rPr>
          <w:rFonts w:ascii="Calibri" w:eastAsia="Calibri" w:hAnsi="Calibri" w:cs="AdvTT5843c571"/>
          <w:sz w:val="24"/>
          <w:szCs w:val="24"/>
          <w:lang w:val="en-US"/>
        </w:rPr>
        <w:t xml:space="preserve">] </w:t>
      </w:r>
      <w:r w:rsidRPr="007E4E64">
        <w:rPr>
          <w:rFonts w:ascii="Calibri" w:eastAsia="Calibri" w:hAnsi="Calibri" w:cs="AdvTT5235d5a9"/>
          <w:color w:val="000000"/>
          <w:sz w:val="24"/>
          <w:szCs w:val="24"/>
          <w:lang w:val="en-US"/>
        </w:rPr>
        <w:t>C.N. Sarkissian, T.S. Kang, A. Gámez, C.R. Scriver, R.C. Stevens, Evaluation of orally administered PEGylated phenylalanine ammonia lyase in mice for the treatment of Phenylketonuria, Mol. Genet. Metab. 104(3) (2011) 249-254.</w:t>
      </w:r>
    </w:p>
    <w:p w14:paraId="6717241C"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AdvTT5843c571"/>
          <w:sz w:val="24"/>
          <w:szCs w:val="24"/>
          <w:lang w:val="en-US"/>
        </w:rPr>
        <w:t>[</w:t>
      </w:r>
      <w:r>
        <w:rPr>
          <w:rFonts w:ascii="Calibri" w:eastAsia="Calibri" w:hAnsi="Calibri" w:cs="AdvTT5843c571"/>
          <w:sz w:val="24"/>
          <w:szCs w:val="24"/>
          <w:lang w:val="en-US"/>
        </w:rPr>
        <w:t>6</w:t>
      </w:r>
      <w:r w:rsidR="00B2589E">
        <w:rPr>
          <w:rFonts w:ascii="Calibri" w:eastAsia="Calibri" w:hAnsi="Calibri" w:cs="AdvTT5843c571"/>
          <w:sz w:val="24"/>
          <w:szCs w:val="24"/>
          <w:lang w:val="en-US"/>
        </w:rPr>
        <w:t>5</w:t>
      </w:r>
      <w:r w:rsidRPr="007E4E64">
        <w:rPr>
          <w:rFonts w:ascii="Calibri" w:eastAsia="Calibri" w:hAnsi="Calibri" w:cs="AdvTT5843c571"/>
          <w:sz w:val="24"/>
          <w:szCs w:val="24"/>
          <w:lang w:val="en-US"/>
        </w:rPr>
        <w:t xml:space="preserve">] </w:t>
      </w:r>
      <w:r w:rsidRPr="007E4E64">
        <w:rPr>
          <w:rFonts w:ascii="Calibri" w:eastAsia="Calibri" w:hAnsi="Calibri" w:cs="Times New Roman"/>
          <w:sz w:val="24"/>
          <w:szCs w:val="24"/>
          <w:lang w:val="en-US"/>
        </w:rPr>
        <w:t xml:space="preserve">N. Longo, C.O. Harding, B.K. Burton, D.K. Grange, J. Vockley, M. Wasserstein, G.M. Rice, A. Dorenbaum, J.K. Neuenburg, D.G. Musson, Z. Gu, S. Sile, Single-dose, subcutaneous recombinant phenylalanine ammonia lyase conjugated with polyethylene glycol in adult patients with phenylketonuria: an open-label, multicentre, phase 1 dose-escalation trial, </w:t>
      </w:r>
      <w:r w:rsidRPr="007E4E64">
        <w:rPr>
          <w:rFonts w:ascii="Calibri" w:eastAsia="Calibri" w:hAnsi="Calibri" w:cs="Times New Roman"/>
          <w:iCs/>
          <w:sz w:val="24"/>
          <w:szCs w:val="24"/>
          <w:lang w:val="en-US"/>
        </w:rPr>
        <w:t>Lancet</w:t>
      </w:r>
      <w:r w:rsidRPr="007E4E64">
        <w:rPr>
          <w:rFonts w:ascii="Calibri" w:eastAsia="Calibri" w:hAnsi="Calibri" w:cs="Times New Roman"/>
          <w:sz w:val="24"/>
          <w:szCs w:val="24"/>
          <w:lang w:val="en-US"/>
        </w:rPr>
        <w:t xml:space="preserve"> 384(9937) (2014) 37-44.</w:t>
      </w:r>
    </w:p>
    <w:p w14:paraId="7DD126FA" w14:textId="77777777" w:rsidR="005A0E3D" w:rsidRPr="007E4E64" w:rsidRDefault="005A0E3D" w:rsidP="005A0E3D">
      <w:pPr>
        <w:spacing w:after="0" w:line="240" w:lineRule="auto"/>
        <w:jc w:val="both"/>
        <w:rPr>
          <w:rFonts w:ascii="Calibri" w:eastAsia="Calibri" w:hAnsi="Calibri" w:cs="AdvTT5235d5a9"/>
          <w:color w:val="000000"/>
          <w:sz w:val="24"/>
          <w:szCs w:val="24"/>
          <w:lang w:val="en-US"/>
        </w:rPr>
      </w:pPr>
      <w:r>
        <w:rPr>
          <w:rFonts w:ascii="Calibri" w:eastAsia="Calibri" w:hAnsi="Calibri" w:cs="Times New Roman"/>
          <w:sz w:val="24"/>
          <w:szCs w:val="24"/>
          <w:lang w:val="en-US"/>
        </w:rPr>
        <w:t>[6</w:t>
      </w:r>
      <w:r w:rsidR="00B2589E">
        <w:rPr>
          <w:rFonts w:ascii="Calibri" w:eastAsia="Calibri" w:hAnsi="Calibri" w:cs="Times New Roman"/>
          <w:sz w:val="24"/>
          <w:szCs w:val="24"/>
          <w:lang w:val="en-US"/>
        </w:rPr>
        <w:t>6</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N. Longo, G.L. Arnold, G. Pridjian, G.M. Enns, C. Ficicioglu, S. Parker, J.L. Cohen-Pfeffer, Phenylketonuria Demographics, Outcomes and Safety Registry. Long-term safety and efficacy of sapropterin: the PKUDOS registry experience, Mol. Genet. Metab. 114(4) (2015) 557-563.</w:t>
      </w:r>
    </w:p>
    <w:p w14:paraId="5BD138BC" w14:textId="77777777" w:rsidR="005A0E3D" w:rsidRPr="007E4E64" w:rsidRDefault="005A0E3D" w:rsidP="005A0E3D">
      <w:pPr>
        <w:autoSpaceDE w:val="0"/>
        <w:autoSpaceDN w:val="0"/>
        <w:adjustRightInd w:val="0"/>
        <w:spacing w:after="0" w:line="240" w:lineRule="auto"/>
        <w:jc w:val="both"/>
        <w:rPr>
          <w:rFonts w:ascii="Calibri" w:eastAsia="Calibri" w:hAnsi="Calibri" w:cs="Arial"/>
          <w:sz w:val="24"/>
          <w:szCs w:val="24"/>
          <w:lang w:val="en-US"/>
        </w:rPr>
      </w:pPr>
      <w:r w:rsidRPr="007E4E64">
        <w:rPr>
          <w:rFonts w:ascii="Calibri" w:eastAsia="Calibri" w:hAnsi="Calibri" w:cs="Times New Roman"/>
          <w:sz w:val="24"/>
          <w:szCs w:val="24"/>
          <w:lang w:val="en-US"/>
        </w:rPr>
        <w:t>[6</w:t>
      </w:r>
      <w:r w:rsidR="00B2589E">
        <w:rPr>
          <w:rFonts w:ascii="Calibri" w:eastAsia="Calibri" w:hAnsi="Calibri" w:cs="Times New Roman"/>
          <w:sz w:val="24"/>
          <w:szCs w:val="24"/>
          <w:lang w:val="en-US"/>
        </w:rPr>
        <w:t>7</w:t>
      </w:r>
      <w:r w:rsidRPr="007E4E64">
        <w:rPr>
          <w:rFonts w:ascii="Calibri" w:eastAsia="Calibri" w:hAnsi="Calibri" w:cs="Times New Roman"/>
          <w:sz w:val="24"/>
          <w:szCs w:val="24"/>
          <w:lang w:val="en-US"/>
        </w:rPr>
        <w:t xml:space="preserve">] </w:t>
      </w:r>
      <w:r w:rsidRPr="007E4E64">
        <w:rPr>
          <w:rFonts w:ascii="Calibri" w:eastAsia="Calibri" w:hAnsi="Calibri" w:cs="Arial"/>
          <w:sz w:val="24"/>
          <w:szCs w:val="24"/>
          <w:lang w:val="en-US"/>
        </w:rPr>
        <w:t>H. Schellekens, W.E. Hennink, V. Brinks. The immunogenicity of polyethyleneglycol: facts and fiction, Pharm. Res. 30(7) (2013) 1729-1734.</w:t>
      </w:r>
    </w:p>
    <w:p w14:paraId="047A5E24"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[6</w:t>
      </w:r>
      <w:r>
        <w:rPr>
          <w:rFonts w:ascii="Calibri" w:eastAsia="Calibri" w:hAnsi="Calibri" w:cs="Times New Roman"/>
          <w:sz w:val="24"/>
          <w:szCs w:val="24"/>
          <w:lang w:val="en-US"/>
        </w:rPr>
        <w:t>8</w:t>
      </w:r>
      <w:r w:rsidRPr="007E4E64">
        <w:rPr>
          <w:rFonts w:ascii="Calibri" w:eastAsia="Calibri" w:hAnsi="Calibri" w:cs="Times New Roman"/>
          <w:sz w:val="24"/>
          <w:szCs w:val="24"/>
          <w:lang w:val="en-US"/>
        </w:rPr>
        <w:t xml:space="preserve">] </w:t>
      </w:r>
      <w:r w:rsidRPr="007E4E64">
        <w:rPr>
          <w:rFonts w:ascii="Calibri" w:eastAsia="Calibri" w:hAnsi="Calibri" w:cs="Arial"/>
          <w:sz w:val="24"/>
          <w:szCs w:val="24"/>
          <w:lang w:val="en-US"/>
        </w:rPr>
        <w:t>W.C. Jr Petersen, D. Clark, S.L. Senn, W.T. Cash, S.E. Gillespie, C.E. McCracken, F.G. Keller, G. Lew, Comparison of allergic reactions to intravenous and intramuscular pegaspargase in children with acute lymphoblastic leukemia, Pediatr. Hematol. Oncol. 31(4) (2014) 311-317.</w:t>
      </w:r>
    </w:p>
    <w:p w14:paraId="657A3662" w14:textId="77777777" w:rsidR="005A0E3D" w:rsidRPr="007E4E64" w:rsidRDefault="005A0E3D" w:rsidP="005A0E3D">
      <w:pPr>
        <w:autoSpaceDE w:val="0"/>
        <w:autoSpaceDN w:val="0"/>
        <w:adjustRightInd w:val="0"/>
        <w:spacing w:after="0" w:line="240" w:lineRule="auto"/>
        <w:jc w:val="both"/>
        <w:rPr>
          <w:rFonts w:ascii="Calibri" w:eastAsia="Calibri" w:hAnsi="Calibri" w:cs="AdvTT5843c571"/>
          <w:sz w:val="24"/>
          <w:szCs w:val="24"/>
          <w:lang w:val="en-US"/>
        </w:rPr>
      </w:pPr>
      <w:r w:rsidRPr="007E4E64">
        <w:rPr>
          <w:rFonts w:ascii="Calibri" w:eastAsia="Calibri" w:hAnsi="Calibri" w:cs="AdvTT5843c571"/>
          <w:sz w:val="24"/>
          <w:szCs w:val="24"/>
          <w:lang w:val="en-US"/>
        </w:rPr>
        <w:t>[6</w:t>
      </w:r>
      <w:r>
        <w:rPr>
          <w:rFonts w:ascii="Calibri" w:eastAsia="Calibri" w:hAnsi="Calibri" w:cs="AdvTT5843c571"/>
          <w:sz w:val="24"/>
          <w:szCs w:val="24"/>
          <w:lang w:val="en-US"/>
        </w:rPr>
        <w:t>9</w:t>
      </w:r>
      <w:r w:rsidRPr="007E4E64">
        <w:rPr>
          <w:rFonts w:ascii="Calibri" w:eastAsia="Calibri" w:hAnsi="Calibri" w:cs="AdvTT5843c571"/>
          <w:sz w:val="24"/>
          <w:szCs w:val="24"/>
          <w:lang w:val="en-US"/>
        </w:rPr>
        <w:t xml:space="preserve">] </w:t>
      </w:r>
      <w:r w:rsidRPr="007E4E64">
        <w:rPr>
          <w:rFonts w:ascii="Calibri" w:eastAsia="Calibri" w:hAnsi="Calibri" w:cs="Times New Roman"/>
          <w:sz w:val="24"/>
          <w:szCs w:val="24"/>
          <w:lang w:val="en-US"/>
        </w:rPr>
        <w:t xml:space="preserve">T. Shimizu, M. Ichihara, Y. Yoshioka, T. Ishida, S. Nakagawa, H. Kiwada, Intravenous administration of polyethylene glycol-coated (PEGylated) proteins and PEGylated adenovirus elicits an anti-PEG immunoglobulin M response. </w:t>
      </w:r>
      <w:r w:rsidRPr="007E4E64">
        <w:rPr>
          <w:rFonts w:ascii="Calibri" w:eastAsia="Calibri" w:hAnsi="Calibri" w:cs="Times New Roman"/>
          <w:iCs/>
          <w:sz w:val="24"/>
          <w:szCs w:val="24"/>
          <w:lang w:val="en-US"/>
        </w:rPr>
        <w:t xml:space="preserve">Biol. Pharm. Bull. </w:t>
      </w:r>
      <w:r w:rsidRPr="007E4E64">
        <w:rPr>
          <w:rFonts w:ascii="Calibri" w:eastAsia="Calibri" w:hAnsi="Calibri" w:cs="Times New Roman"/>
          <w:sz w:val="24"/>
          <w:szCs w:val="24"/>
          <w:lang w:val="en-US"/>
        </w:rPr>
        <w:t>35(8) (2012) 1336-1342.</w:t>
      </w:r>
    </w:p>
    <w:p w14:paraId="1C854D5B" w14:textId="77777777" w:rsidR="005A0E3D" w:rsidRPr="007E4E64" w:rsidRDefault="005A0E3D" w:rsidP="005A0E3D">
      <w:pPr>
        <w:autoSpaceDE w:val="0"/>
        <w:autoSpaceDN w:val="0"/>
        <w:adjustRightInd w:val="0"/>
        <w:spacing w:after="0" w:line="240" w:lineRule="auto"/>
        <w:jc w:val="both"/>
        <w:rPr>
          <w:rFonts w:ascii="Calibri" w:eastAsia="Calibri" w:hAnsi="Calibri" w:cs="AdvTT5843c571"/>
          <w:sz w:val="24"/>
          <w:szCs w:val="24"/>
          <w:lang w:val="en-US"/>
        </w:rPr>
      </w:pPr>
      <w:r w:rsidRPr="007E4E64">
        <w:rPr>
          <w:rFonts w:ascii="Calibri" w:eastAsia="Calibri" w:hAnsi="Calibri" w:cs="AdvTT5843c571"/>
          <w:sz w:val="24"/>
          <w:szCs w:val="24"/>
          <w:lang w:val="en-US"/>
        </w:rPr>
        <w:t>[</w:t>
      </w:r>
      <w:r>
        <w:rPr>
          <w:rFonts w:ascii="Calibri" w:eastAsia="Calibri" w:hAnsi="Calibri" w:cs="AdvTT5843c571"/>
          <w:sz w:val="24"/>
          <w:szCs w:val="24"/>
          <w:lang w:val="en-US"/>
        </w:rPr>
        <w:t>70</w:t>
      </w:r>
      <w:r w:rsidRPr="007E4E64">
        <w:rPr>
          <w:rFonts w:ascii="Calibri" w:eastAsia="Calibri" w:hAnsi="Calibri" w:cs="AdvTT5843c571"/>
          <w:sz w:val="24"/>
          <w:szCs w:val="24"/>
          <w:lang w:val="en-US"/>
        </w:rPr>
        <w:t>] T. Ishida, H. Kiwada, Anti-polyethyleneglycol antibody response to PEGylated substances. Biol. Pharm. Bull. 36(6)(2013) 889-891.</w:t>
      </w:r>
    </w:p>
    <w:p w14:paraId="40F56A49" w14:textId="77777777" w:rsidR="005A0E3D" w:rsidRPr="007E4E64" w:rsidRDefault="005A0E3D" w:rsidP="005A0E3D">
      <w:pPr>
        <w:autoSpaceDE w:val="0"/>
        <w:autoSpaceDN w:val="0"/>
        <w:adjustRightInd w:val="0"/>
        <w:spacing w:after="0" w:line="240" w:lineRule="auto"/>
        <w:jc w:val="both"/>
        <w:rPr>
          <w:rFonts w:ascii="Calibri" w:eastAsia="Calibri" w:hAnsi="Calibri" w:cs="AdvTT5843c571"/>
          <w:sz w:val="24"/>
          <w:szCs w:val="24"/>
          <w:lang w:val="en-US"/>
        </w:rPr>
      </w:pPr>
      <w:r w:rsidRPr="007E4E64">
        <w:rPr>
          <w:rFonts w:ascii="Calibri" w:eastAsia="Calibri" w:hAnsi="Calibri" w:cs="AdvTT5843c571"/>
          <w:sz w:val="24"/>
          <w:szCs w:val="24"/>
          <w:lang w:val="en-US"/>
        </w:rPr>
        <w:lastRenderedPageBreak/>
        <w:t>[</w:t>
      </w:r>
      <w:r>
        <w:rPr>
          <w:rFonts w:ascii="Calibri" w:eastAsia="Calibri" w:hAnsi="Calibri" w:cs="AdvTT5843c571"/>
          <w:sz w:val="24"/>
          <w:szCs w:val="24"/>
          <w:lang w:val="en-US"/>
        </w:rPr>
        <w:t>71</w:t>
      </w:r>
      <w:r w:rsidRPr="007E4E64">
        <w:rPr>
          <w:rFonts w:ascii="Calibri" w:eastAsia="Calibri" w:hAnsi="Calibri" w:cs="AdvTT5843c571"/>
          <w:sz w:val="24"/>
          <w:szCs w:val="24"/>
          <w:lang w:val="en-US"/>
        </w:rPr>
        <w:t>] K.J. August, W.P. Miller, A. Dalton, S. Shinnick, Comparison of hypersensitivity reactions to PEG-asparaginase in children after intravenous and intramuscular administration. J. Pediatr. Hematol. Oncol. 35(7) (2013) 283-286.</w:t>
      </w:r>
    </w:p>
    <w:p w14:paraId="21FB3E46"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Arial"/>
          <w:sz w:val="24"/>
          <w:szCs w:val="24"/>
          <w:lang w:val="en-US"/>
        </w:rPr>
        <w:t>[</w:t>
      </w:r>
      <w:r>
        <w:rPr>
          <w:rFonts w:ascii="Calibri" w:eastAsia="Calibri" w:hAnsi="Calibri" w:cs="Arial"/>
          <w:sz w:val="24"/>
          <w:szCs w:val="24"/>
          <w:lang w:val="en-US"/>
        </w:rPr>
        <w:t>72</w:t>
      </w:r>
      <w:r w:rsidRPr="007E4E64">
        <w:rPr>
          <w:rFonts w:ascii="Calibri" w:eastAsia="Calibri" w:hAnsi="Calibri" w:cs="Arial"/>
          <w:sz w:val="24"/>
          <w:szCs w:val="24"/>
          <w:lang w:val="en-US"/>
        </w:rPr>
        <w:t xml:space="preserve">] </w:t>
      </w:r>
      <w:r w:rsidRPr="007E4E64">
        <w:rPr>
          <w:rFonts w:ascii="Calibri" w:eastAsia="Calibri" w:hAnsi="Calibri" w:cs="Times New Roman"/>
          <w:sz w:val="24"/>
          <w:szCs w:val="24"/>
          <w:lang w:val="en-US"/>
        </w:rPr>
        <w:t xml:space="preserve">L.T. Henriksen, A. Harila-Saari, E. Ruud, J. Abrahamsson, K. Pruunsild, G. Vaitkeviciene, Ó.G. Jónsson, K. Schmiegelow, M. Heyman, H. Schrøder, B.K. Albertsen, Nordic Society of Paediatric Haematology and Oncology (NOPHO) group. PEG-asparaginase allergy in children with acute lymphoblastic leukemia in the NOPHO ALL2008 protocol, </w:t>
      </w:r>
      <w:r w:rsidRPr="007E4E64">
        <w:rPr>
          <w:rFonts w:ascii="Calibri" w:eastAsia="Calibri" w:hAnsi="Calibri" w:cs="Times New Roman"/>
          <w:iCs/>
          <w:sz w:val="24"/>
          <w:szCs w:val="24"/>
          <w:lang w:val="en-US"/>
        </w:rPr>
        <w:t>Pediatr Blood Cancer</w:t>
      </w:r>
      <w:r w:rsidRPr="007E4E64">
        <w:rPr>
          <w:rFonts w:ascii="Calibri" w:eastAsia="Calibri" w:hAnsi="Calibri" w:cs="Times New Roman"/>
          <w:sz w:val="24"/>
          <w:szCs w:val="24"/>
          <w:lang w:val="en-US"/>
        </w:rPr>
        <w:t>. 62(3)(2015) 427-433.</w:t>
      </w:r>
    </w:p>
    <w:p w14:paraId="3E90CF68"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73</w:t>
      </w:r>
      <w:r w:rsidRPr="007E4E64">
        <w:rPr>
          <w:rFonts w:ascii="Calibri" w:eastAsia="Calibri" w:hAnsi="Calibri" w:cs="Times New Roman"/>
          <w:sz w:val="24"/>
          <w:szCs w:val="24"/>
          <w:lang w:val="en-US"/>
        </w:rPr>
        <w:t>] A.S. Abu Lila, H. Kiwada, T. Ishida, The accelerated blood clearance (ABC) phenomenon: clinical challenge and approaches to manage, J. Control. Release 172(1) (2013) 38-47.</w:t>
      </w:r>
    </w:p>
    <w:p w14:paraId="5471A9AA"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[74</w:t>
      </w:r>
      <w:r w:rsidRPr="007E4E64">
        <w:rPr>
          <w:rFonts w:ascii="Calibri" w:eastAsia="Calibri" w:hAnsi="Calibri" w:cs="Times New Roman"/>
          <w:sz w:val="24"/>
          <w:szCs w:val="24"/>
          <w:lang w:val="en-US"/>
        </w:rPr>
        <w:t>] U. Sprandel, N. Zöllner, Biochemical studies of phenylalanine ammonia-lyase encapsulated in erythrocytes, Biochem. Soc. Trans. 18(4) (1990) 654-655.</w:t>
      </w:r>
    </w:p>
    <w:p w14:paraId="2786B347" w14:textId="77777777" w:rsidR="005A0E3D"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75</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F.F. Becker, J.D. Broome, L-asparaginase: inhibition of early mitosis in regenerating rat liver, Science 156(3782) (1967) 1602-3.</w:t>
      </w:r>
    </w:p>
    <w:p w14:paraId="7598806F"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rPr>
        <w:t>[</w:t>
      </w:r>
      <w:r>
        <w:rPr>
          <w:rFonts w:ascii="Calibri" w:eastAsia="Calibri" w:hAnsi="Calibri" w:cs="AdvTT5235d5a9"/>
          <w:color w:val="000000"/>
          <w:sz w:val="24"/>
          <w:szCs w:val="24"/>
        </w:rPr>
        <w:t>76</w:t>
      </w:r>
      <w:r w:rsidRPr="007E4E64">
        <w:rPr>
          <w:rFonts w:ascii="Calibri" w:eastAsia="Calibri" w:hAnsi="Calibri" w:cs="AdvTT5235d5a9"/>
          <w:color w:val="000000"/>
          <w:sz w:val="24"/>
          <w:szCs w:val="24"/>
        </w:rPr>
        <w:t xml:space="preserve">] N.K. Cheung, I.Y. Chau, P.F. Coccia, Antibody response to Escherichia coli L-asparaginase. </w:t>
      </w:r>
      <w:r w:rsidRPr="007E4E64">
        <w:rPr>
          <w:rFonts w:ascii="Calibri" w:eastAsia="Calibri" w:hAnsi="Calibri" w:cs="AdvTT5235d5a9"/>
          <w:color w:val="000000"/>
          <w:sz w:val="24"/>
          <w:szCs w:val="24"/>
          <w:lang w:val="en-US"/>
        </w:rPr>
        <w:t>Prognostic significance and clinical utility of antibody measurement,</w:t>
      </w:r>
      <w:r w:rsidRPr="007E4E64">
        <w:rPr>
          <w:rFonts w:ascii="Calibri" w:eastAsia="Calibri" w:hAnsi="Calibri" w:cs="Times New Roman"/>
          <w:sz w:val="24"/>
          <w:szCs w:val="24"/>
          <w:lang w:val="en-US"/>
        </w:rPr>
        <w:t xml:space="preserve"> </w:t>
      </w:r>
      <w:r w:rsidRPr="007E4E64">
        <w:rPr>
          <w:rFonts w:ascii="Calibri" w:eastAsia="Calibri" w:hAnsi="Calibri" w:cs="AdvTT5235d5a9"/>
          <w:color w:val="000000"/>
          <w:sz w:val="24"/>
          <w:szCs w:val="24"/>
          <w:lang w:val="en-US"/>
        </w:rPr>
        <w:t>Am. J. Pediatr. Hematol. Oncol. 8(2) (1986) 99-104.</w:t>
      </w:r>
    </w:p>
    <w:p w14:paraId="768413C3"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w:t>
      </w:r>
      <w:r>
        <w:rPr>
          <w:rFonts w:ascii="Calibri" w:eastAsia="Calibri" w:hAnsi="Calibri" w:cs="AdvTT5235d5a9"/>
          <w:color w:val="000000"/>
          <w:sz w:val="24"/>
          <w:szCs w:val="24"/>
          <w:lang w:val="en-US"/>
        </w:rPr>
        <w:t>77</w:t>
      </w:r>
      <w:r w:rsidRPr="007E4E64">
        <w:rPr>
          <w:rFonts w:ascii="Calibri" w:eastAsia="Calibri" w:hAnsi="Calibri" w:cs="AdvTT5235d5a9"/>
          <w:color w:val="000000"/>
          <w:sz w:val="24"/>
          <w:szCs w:val="24"/>
          <w:lang w:val="en-US"/>
        </w:rPr>
        <w:t xml:space="preserve">] </w:t>
      </w:r>
      <w:r w:rsidRPr="007E4E64">
        <w:rPr>
          <w:rFonts w:ascii="Calibri" w:eastAsia="Calibri" w:hAnsi="Calibri" w:cs="Times New Roman"/>
          <w:sz w:val="24"/>
          <w:szCs w:val="24"/>
          <w:lang w:val="en-US"/>
        </w:rPr>
        <w:t>R. Kravtzoff, P.H. Colombat, I. Desbois, C. Linassier, J.P. Muh, T. Philip, J.Y. Blay, M. Gardenbas, P. Poumier-Gaschard, J.P. Lamagnere, M. Chassaigne, C. Ropars, Tolerance evaluation of L-asparaginase loaded in red blood cells, Eur. J. Clin. Pharmacol. 51 (1996) 221-225.</w:t>
      </w:r>
    </w:p>
    <w:p w14:paraId="43F72058"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[7</w:t>
      </w:r>
      <w:r>
        <w:rPr>
          <w:rFonts w:ascii="Calibri" w:eastAsia="Calibri" w:hAnsi="Calibri" w:cs="Times New Roman"/>
          <w:sz w:val="24"/>
          <w:szCs w:val="24"/>
          <w:lang w:val="en-US"/>
        </w:rPr>
        <w:t>8</w:t>
      </w:r>
      <w:r w:rsidRPr="007E4E64">
        <w:rPr>
          <w:rFonts w:ascii="Calibri" w:eastAsia="Calibri" w:hAnsi="Calibri" w:cs="Times New Roman"/>
          <w:sz w:val="24"/>
          <w:szCs w:val="24"/>
          <w:lang w:val="en-US"/>
        </w:rPr>
        <w:t>] R. Kravtzoff, I. Desbois, J.P. Lamagnere, J.P. Muh, C. Valat, M. Chassaigne, P. Colombat, C. Ropars, Improved pharmacodynamics of L-asparaginase</w:t>
      </w:r>
      <w:r w:rsidR="00B2589E">
        <w:rPr>
          <w:rFonts w:ascii="Calibri" w:eastAsia="Calibri" w:hAnsi="Calibri" w:cs="Times New Roman"/>
          <w:sz w:val="24"/>
          <w:szCs w:val="24"/>
          <w:lang w:val="en-US"/>
        </w:rPr>
        <w:t xml:space="preserve"> </w:t>
      </w:r>
      <w:r w:rsidRPr="007E4E64">
        <w:rPr>
          <w:rFonts w:ascii="Calibri" w:eastAsia="Calibri" w:hAnsi="Calibri" w:cs="Times New Roman"/>
          <w:sz w:val="24"/>
          <w:szCs w:val="24"/>
          <w:lang w:val="en-US"/>
        </w:rPr>
        <w:t>loaded in human red blood cells, Eur. J. Clin. Pharmacol. 49 (1996) 465-470.</w:t>
      </w:r>
    </w:p>
    <w:p w14:paraId="7AA0973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[79</w:t>
      </w:r>
      <w:r w:rsidRPr="007E4E64">
        <w:rPr>
          <w:rFonts w:ascii="Calibri" w:eastAsia="Calibri" w:hAnsi="Calibri" w:cs="Times New Roman"/>
          <w:sz w:val="24"/>
          <w:szCs w:val="24"/>
          <w:lang w:val="en-US"/>
        </w:rPr>
        <w:t>] R. Kravtzoff, C. Ropars, M. Laguerre, J.P. Muh, M. Chassaigne, Erythrocytes as carriers for L-asparaginase. Methodological and mouse in-vivo studies, J. Pharm. Pharmacol. 42(7) (1990) 473-476.</w:t>
      </w:r>
    </w:p>
    <w:p w14:paraId="7DD65BF1"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80</w:t>
      </w:r>
      <w:r w:rsidRPr="007E4E64">
        <w:rPr>
          <w:rFonts w:ascii="Calibri" w:eastAsia="Calibri" w:hAnsi="Calibri" w:cs="Times New Roman"/>
          <w:sz w:val="24"/>
          <w:szCs w:val="24"/>
          <w:lang w:val="en-US"/>
        </w:rPr>
        <w:t>] S.J. Updike, R.T. Wakamiya, Infusion of red blood cell-loaded asparaginase in monkey. Immunologic, metabolic, and toxicologic consequences, J. Lab. Clin. Med. 101(5) (1983) 679-691.</w:t>
      </w:r>
    </w:p>
    <w:p w14:paraId="23921EAB" w14:textId="77777777" w:rsidR="005A0E3D"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231EB6">
        <w:rPr>
          <w:rFonts w:ascii="Calibri" w:eastAsia="Calibri" w:hAnsi="Calibri" w:cs="Times New Roman"/>
          <w:sz w:val="24"/>
          <w:szCs w:val="24"/>
          <w:lang w:val="en-US"/>
        </w:rPr>
        <w:t xml:space="preserve">[81] L. Chiarantini, L. Rossi, A. Fraternale, M. Magnani, Modulated red blood cell survival by </w:t>
      </w:r>
      <w:r>
        <w:rPr>
          <w:rFonts w:ascii="Calibri" w:eastAsia="Calibri" w:hAnsi="Calibri" w:cs="Times New Roman"/>
          <w:sz w:val="24"/>
          <w:szCs w:val="24"/>
          <w:lang w:val="en-US"/>
        </w:rPr>
        <w:t>membrane protein clustering,</w:t>
      </w:r>
      <w:r w:rsidRPr="00231EB6">
        <w:rPr>
          <w:rFonts w:ascii="Calibri" w:eastAsia="Calibri" w:hAnsi="Calibri" w:cs="Times New Roman"/>
          <w:sz w:val="24"/>
          <w:szCs w:val="24"/>
          <w:lang w:val="en-US"/>
        </w:rPr>
        <w:t xml:space="preserve"> Mol</w:t>
      </w:r>
      <w:r>
        <w:rPr>
          <w:rFonts w:ascii="Calibri" w:eastAsia="Calibri" w:hAnsi="Calibri" w:cs="Times New Roman"/>
          <w:sz w:val="24"/>
          <w:szCs w:val="24"/>
          <w:lang w:val="en-US"/>
        </w:rPr>
        <w:t>.</w:t>
      </w:r>
      <w:r w:rsidRPr="00231EB6">
        <w:rPr>
          <w:rFonts w:ascii="Calibri" w:eastAsia="Calibri" w:hAnsi="Calibri" w:cs="Times New Roman"/>
          <w:sz w:val="24"/>
          <w:szCs w:val="24"/>
          <w:lang w:val="en-US"/>
        </w:rPr>
        <w:t xml:space="preserve"> Cell</w:t>
      </w:r>
      <w:r>
        <w:rPr>
          <w:rFonts w:ascii="Calibri" w:eastAsia="Calibri" w:hAnsi="Calibri" w:cs="Times New Roman"/>
          <w:sz w:val="24"/>
          <w:szCs w:val="24"/>
          <w:lang w:val="en-US"/>
        </w:rPr>
        <w:t>. Biochem. 144(1) (1995)</w:t>
      </w:r>
      <w:r w:rsidRPr="00231EB6">
        <w:rPr>
          <w:rFonts w:ascii="Calibri" w:eastAsia="Calibri" w:hAnsi="Calibri" w:cs="Times New Roman"/>
          <w:sz w:val="24"/>
          <w:szCs w:val="24"/>
          <w:lang w:val="en-US"/>
        </w:rPr>
        <w:t xml:space="preserve"> 53-9.</w:t>
      </w:r>
    </w:p>
    <w:p w14:paraId="37AF522D"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82</w:t>
      </w:r>
      <w:r w:rsidRPr="007E4E64">
        <w:rPr>
          <w:rFonts w:ascii="Calibri" w:eastAsia="Calibri" w:hAnsi="Calibri" w:cs="Times New Roman"/>
          <w:sz w:val="24"/>
          <w:szCs w:val="24"/>
          <w:lang w:val="en-US"/>
        </w:rPr>
        <w:t>] Y. Sato, E. Beutler, Binding, internalization, and degradation of mannose-terminated glucocerebrosidase by macrophages, J. Clin. Invest. 91(5) (1993) 1909-1917.</w:t>
      </w:r>
    </w:p>
    <w:p w14:paraId="5BF049D5"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83</w:t>
      </w:r>
      <w:r w:rsidRPr="007E4E64">
        <w:rPr>
          <w:rFonts w:ascii="Calibri" w:eastAsia="Calibri" w:hAnsi="Calibri" w:cs="Times New Roman"/>
          <w:sz w:val="24"/>
          <w:szCs w:val="24"/>
          <w:lang w:val="en-US"/>
        </w:rPr>
        <w:t>] E. Beutler, G.L. Dale, D.E. Guinto, W. Kuhl, Enzyme replacement therapy in Gaucher's disease: preliminary clinical trial of a new enzyme preparation, Proc. Natl. Acad. Sci. U. S. A. 74(10) (1977) 4620-4623.</w:t>
      </w:r>
    </w:p>
    <w:p w14:paraId="2C4D6724"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[8</w:t>
      </w:r>
      <w:r>
        <w:rPr>
          <w:rFonts w:ascii="Calibri" w:eastAsia="Calibri" w:hAnsi="Calibri" w:cs="Times New Roman"/>
          <w:sz w:val="24"/>
          <w:szCs w:val="24"/>
          <w:lang w:val="en-US"/>
        </w:rPr>
        <w:t>4</w:t>
      </w:r>
      <w:r w:rsidRPr="007E4E64">
        <w:rPr>
          <w:rFonts w:ascii="Calibri" w:eastAsia="Calibri" w:hAnsi="Calibri" w:cs="Times New Roman"/>
          <w:sz w:val="24"/>
          <w:szCs w:val="24"/>
          <w:lang w:val="en-US"/>
        </w:rPr>
        <w:t>] R. Stasi, Immune thrombocytopenia: pathophysiologic and clinical update, Semin. Thromb. Hemost. 238(5) (2012) 454-462.</w:t>
      </w:r>
    </w:p>
    <w:p w14:paraId="307AA61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[8</w:t>
      </w:r>
      <w:r>
        <w:rPr>
          <w:rFonts w:ascii="Calibri" w:eastAsia="Calibri" w:hAnsi="Calibri" w:cs="Times New Roman"/>
          <w:sz w:val="24"/>
          <w:szCs w:val="24"/>
          <w:lang w:val="en-US"/>
        </w:rPr>
        <w:t>5</w:t>
      </w:r>
      <w:r w:rsidRPr="007E4E64">
        <w:rPr>
          <w:rFonts w:ascii="Calibri" w:eastAsia="Calibri" w:hAnsi="Calibri" w:cs="Times New Roman"/>
          <w:sz w:val="24"/>
          <w:szCs w:val="24"/>
          <w:lang w:val="en-US"/>
        </w:rPr>
        <w:t>] P.A. Oldenborg, Role of CD47 in erythroid cells and in autoimmunity, Leuk. Lymphoma 45(7) (2004) 1319-1327.</w:t>
      </w:r>
    </w:p>
    <w:p w14:paraId="6C42D4A3"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[8</w:t>
      </w:r>
      <w:r>
        <w:rPr>
          <w:rFonts w:ascii="Calibri" w:eastAsia="Calibri" w:hAnsi="Calibri" w:cs="Times New Roman"/>
          <w:sz w:val="24"/>
          <w:szCs w:val="24"/>
          <w:lang w:val="en-US"/>
        </w:rPr>
        <w:t>6</w:t>
      </w:r>
      <w:r w:rsidRPr="007E4E64">
        <w:rPr>
          <w:rFonts w:ascii="Calibri" w:eastAsia="Calibri" w:hAnsi="Calibri" w:cs="Times New Roman"/>
          <w:sz w:val="24"/>
          <w:szCs w:val="24"/>
          <w:lang w:val="en-US"/>
        </w:rPr>
        <w:t>] P. Ruiz, P. Maldonado, Y. Hidalgo, A. Gleisner, D. Sauma, C. Silva, J.J. Saez, S. Nuñez, M. Rosemblatt, M.R. Bono, Transplant tolerance: new insights and strategies for long-term allograft acceptance, Clin. Dev. Immunol. 2013 (2013) 210506-210520.</w:t>
      </w:r>
    </w:p>
    <w:p w14:paraId="5AE45CF6"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[8</w:t>
      </w:r>
      <w:r>
        <w:rPr>
          <w:rFonts w:ascii="Calibri" w:eastAsia="Calibri" w:hAnsi="Calibri" w:cs="Times New Roman"/>
          <w:sz w:val="24"/>
          <w:szCs w:val="24"/>
          <w:lang w:val="en-US"/>
        </w:rPr>
        <w:t>7</w:t>
      </w:r>
      <w:r w:rsidRPr="007E4E64">
        <w:rPr>
          <w:rFonts w:ascii="Calibri" w:eastAsia="Calibri" w:hAnsi="Calibri" w:cs="Times New Roman"/>
          <w:sz w:val="24"/>
          <w:szCs w:val="24"/>
          <w:lang w:val="en-US"/>
        </w:rPr>
        <w:t>] M.S. Meltzer, D.R. Skillman, P.J. Gomatos, D.C. Kalter, H.E. Gendelman, Role of mononuclear phagocytes in the pathogenesis of human immunodeficiency virus infection, Annu. Rev. Immunol. 8 (1990) 169-94.</w:t>
      </w:r>
    </w:p>
    <w:p w14:paraId="05CF2B01"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88</w:t>
      </w:r>
      <w:r w:rsidRPr="007E4E64">
        <w:rPr>
          <w:rFonts w:ascii="Calibri" w:eastAsia="Calibri" w:hAnsi="Calibri" w:cs="Times New Roman"/>
          <w:sz w:val="24"/>
          <w:szCs w:val="24"/>
          <w:lang w:val="en-US"/>
        </w:rPr>
        <w:t xml:space="preserve">] L. Wu, P.S. Morahan, J.A. Hendrzak, T.K. Eisenstein, Herpes simplex virus type 1 replication and IL-1 beta gene expression in mouse peritoneal macrophages activated in vivo by an attenuated </w:t>
      </w:r>
      <w:r w:rsidRPr="007E4E64">
        <w:rPr>
          <w:rFonts w:ascii="Calibri" w:eastAsia="Calibri" w:hAnsi="Calibri" w:cs="Times New Roman"/>
          <w:sz w:val="24"/>
          <w:szCs w:val="24"/>
          <w:lang w:val="en-US"/>
        </w:rPr>
        <w:lastRenderedPageBreak/>
        <w:t>Salmonella typhimurium vaccine or Corynebacterium parvum, Microb. Pathog. 16(6) (1994) 387-399.</w:t>
      </w:r>
    </w:p>
    <w:p w14:paraId="77B16C7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89</w:t>
      </w:r>
      <w:r w:rsidRPr="007E4E64">
        <w:rPr>
          <w:rFonts w:ascii="Calibri" w:eastAsia="Calibri" w:hAnsi="Calibri" w:cs="Times New Roman"/>
          <w:sz w:val="24"/>
          <w:szCs w:val="24"/>
          <w:lang w:val="en-US"/>
        </w:rPr>
        <w:t>] L. Rossi, G. Brandi, G.F. Schiavano, E. Balestra, E. Millo, S. Scarfi, G. Damonte, A. Gasparini, M. Magnani, C.F. Perno, U. Benatti, A. De Flora, Macrophage protection against human immunodeficiency virus or herpes simplex virus by red blood cell-mediated delivery of a heterodinucleotide of azidothymidine and acyclovir, AIDS Res. Hum. Retroviruses 14(5) (1998) 435-444.</w:t>
      </w:r>
    </w:p>
    <w:p w14:paraId="6C9B571D"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90</w:t>
      </w:r>
      <w:r w:rsidRPr="007E4E64">
        <w:rPr>
          <w:rFonts w:ascii="Calibri" w:eastAsia="Calibri" w:hAnsi="Calibri" w:cs="Times New Roman"/>
          <w:sz w:val="24"/>
          <w:szCs w:val="24"/>
          <w:lang w:val="en-US"/>
        </w:rPr>
        <w:t>] L. Rossi, S. Serafini, L. Cappellacci, E. Balestra, G. Brandi, G.F. Schiavano, P. Franchetti, M. Grifantini, C.F. Perno, M. Magnani, Erythrocyte-mediated delivery of a new homodinucleotide active against human immunodeficiency virus and herpes simplex virus, J. Antimicrob. Chemother. 47(6) (2001) 819-827.</w:t>
      </w:r>
    </w:p>
    <w:p w14:paraId="1E69E8CD"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91</w:t>
      </w:r>
      <w:r w:rsidRPr="007E4E64">
        <w:rPr>
          <w:rFonts w:ascii="Calibri" w:eastAsia="Calibri" w:hAnsi="Calibri" w:cs="Times New Roman"/>
          <w:sz w:val="24"/>
          <w:szCs w:val="24"/>
          <w:lang w:val="en-US"/>
        </w:rPr>
        <w:t>] P. Franchetti, L. Rossi, L. Cappellacci, M. Pasqualini, M. Grifantini, E. Balestra, F. Forbici, C.F. Perno, S. Serafini, M. Magnani, Inhibition of HIV-1 replication in macrophages by red blood cell-mediated delivery of a heterodinucleotide of azidothymidine and 9-(R)-2-(phosphono methoxypropyl)adenine, Antivir. Chem. Chemother. 12(3) (2001) 151-159.</w:t>
      </w:r>
    </w:p>
    <w:p w14:paraId="6014BE4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92</w:t>
      </w:r>
      <w:r w:rsidRPr="007E4E64">
        <w:rPr>
          <w:rFonts w:ascii="Calibri" w:eastAsia="Calibri" w:hAnsi="Calibri" w:cs="Times New Roman"/>
          <w:sz w:val="24"/>
          <w:szCs w:val="24"/>
          <w:lang w:val="en-US"/>
        </w:rPr>
        <w:t>] P. Franchetti, G. Abu Sheikha, L. Cappellacci, S. Marchetti, M. Grifantini, E. Balestra, C. Perno, U. Benatti, G. Brandi, L. Rossi, M. Magnani, A new acyclic heterodinucleotide active against human immunodeficiency virus and herpes simplex virus, Antiviral Res. 47(3) (2000) 149-158.</w:t>
      </w:r>
    </w:p>
    <w:p w14:paraId="16D4F11B"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93</w:t>
      </w:r>
      <w:r w:rsidRPr="007E4E64">
        <w:rPr>
          <w:rFonts w:ascii="Calibri" w:eastAsia="Calibri" w:hAnsi="Calibri" w:cs="Times New Roman"/>
          <w:sz w:val="24"/>
          <w:szCs w:val="24"/>
          <w:lang w:val="en-US"/>
        </w:rPr>
        <w:t>] M. Magnani, A. Casabianca, A. Fraternale, G. Brandi, S. Gessani, R. Williams, M. Giovine, G. Damonte, A. De Flora, U. Benatti, Synthesis and targeted delivery of an azidothymidine homodinucleotide conferring protection to macrophages against retroviral infection, Proc. Natl. Acad. Sci. USA 93(9) (1996) 4403-4408.</w:t>
      </w:r>
    </w:p>
    <w:p w14:paraId="02325295"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94</w:t>
      </w:r>
      <w:r w:rsidRPr="007E4E64">
        <w:rPr>
          <w:rFonts w:ascii="Calibri" w:eastAsia="Calibri" w:hAnsi="Calibri" w:cs="Times New Roman"/>
          <w:sz w:val="24"/>
          <w:szCs w:val="24"/>
          <w:lang w:val="en-US"/>
        </w:rPr>
        <w:t>] R. Sabatino, A. Antonelli, S. Battistelli, R. Schwendener, M. Magnani, L. Rossi, Macrophage depletion by free bisphosphonates and zoledronate-loaded red blood cells, PLoS One 9(6) (2014) e101260-101271.</w:t>
      </w:r>
    </w:p>
    <w:p w14:paraId="5F96D354"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[9</w:t>
      </w:r>
      <w:r>
        <w:rPr>
          <w:rFonts w:ascii="Calibri" w:eastAsia="Calibri" w:hAnsi="Calibri" w:cs="Times New Roman"/>
          <w:sz w:val="24"/>
          <w:szCs w:val="24"/>
          <w:lang w:val="en-US"/>
        </w:rPr>
        <w:t>5</w:t>
      </w:r>
      <w:r w:rsidRPr="007E4E64">
        <w:rPr>
          <w:rFonts w:ascii="Calibri" w:eastAsia="Calibri" w:hAnsi="Calibri" w:cs="Times New Roman"/>
          <w:sz w:val="24"/>
          <w:szCs w:val="24"/>
          <w:lang w:val="en-US"/>
        </w:rPr>
        <w:t>] L. Rossi, B. Migliavacca, F. Pierigé, S. Serafini, F. Sanvito, S. Olivieri, R. Nano, B. Antonioli, M. Magnani, F. Bertuzzi, Prolonged islet allograft survival in diabetic mice upon macrophage depletion by clodronate-loaded erythrocytes, Transplantation 85(4) (2008) 648-650.</w:t>
      </w:r>
    </w:p>
    <w:p w14:paraId="38361602"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Pr>
          <w:rFonts w:ascii="Calibri" w:eastAsia="Calibri" w:hAnsi="Calibri" w:cs="Times New Roman"/>
          <w:sz w:val="24"/>
          <w:szCs w:val="24"/>
        </w:rPr>
        <w:t>[96</w:t>
      </w:r>
      <w:r w:rsidRPr="007E4E64">
        <w:rPr>
          <w:rFonts w:ascii="Calibri" w:eastAsia="Calibri" w:hAnsi="Calibri" w:cs="Times New Roman"/>
          <w:sz w:val="24"/>
          <w:szCs w:val="24"/>
        </w:rPr>
        <w:t>] L. Rossi, S. Serafini, A. Antonelli, F. Pierigé, A. Carnevali, V. Battistelli, M. Malatesta, E. Balestra, R. Caliò, C.F. Perno, M. Magnani, Macrophage depletion induced by clodronate-loaded erythrocytes, J. Drug Target. 13(2) (2005) 99-111.</w:t>
      </w:r>
    </w:p>
    <w:p w14:paraId="0DF72911" w14:textId="77777777" w:rsidR="005A0E3D"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rPr>
        <w:t>[9</w:t>
      </w:r>
      <w:r>
        <w:rPr>
          <w:rFonts w:ascii="Calibri" w:eastAsia="Calibri" w:hAnsi="Calibri" w:cs="Times New Roman"/>
          <w:sz w:val="24"/>
          <w:szCs w:val="24"/>
        </w:rPr>
        <w:t>7</w:t>
      </w:r>
      <w:r w:rsidRPr="007E4E64">
        <w:rPr>
          <w:rFonts w:ascii="Calibri" w:eastAsia="Calibri" w:hAnsi="Calibri" w:cs="Times New Roman"/>
          <w:sz w:val="24"/>
          <w:szCs w:val="24"/>
        </w:rPr>
        <w:t>] L. Orda´s, L. Eckmann, M. Talamini, D.C. Baumgart, W.J. Sandborn, Ulcerative colitis, Lancet 380 (2012) 1606-1619.</w:t>
      </w:r>
    </w:p>
    <w:p w14:paraId="5DEF1896"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0B0A0A">
        <w:rPr>
          <w:rFonts w:ascii="Calibri" w:eastAsia="Calibri" w:hAnsi="Calibri" w:cs="Times New Roman"/>
          <w:sz w:val="24"/>
          <w:szCs w:val="24"/>
        </w:rPr>
        <w:t xml:space="preserve">[98] R. Cordle, Upper respiratory emergencies, in: J.E. Tintinalli, G.D. Kelen, J.S. Stapczynski, et al. </w:t>
      </w:r>
      <w:r w:rsidRPr="007E4E64">
        <w:rPr>
          <w:rFonts w:ascii="Calibri" w:eastAsia="Calibri" w:hAnsi="Calibri" w:cs="Times New Roman"/>
          <w:sz w:val="24"/>
          <w:szCs w:val="24"/>
          <w:lang w:val="en-US"/>
        </w:rPr>
        <w:t>(Eds.), Tintinalli’s Emergency Medicine: A Comprehensive Study Guide, 6th ed., New York: McGraw-Hill, 2004, pp. 848-857.</w:t>
      </w:r>
    </w:p>
    <w:p w14:paraId="388F212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[9</w:t>
      </w:r>
      <w:r>
        <w:rPr>
          <w:rFonts w:ascii="Calibri" w:eastAsia="Calibri" w:hAnsi="Calibri" w:cs="Times New Roman"/>
          <w:sz w:val="24"/>
          <w:szCs w:val="24"/>
          <w:lang w:val="en-US"/>
        </w:rPr>
        <w:t>9</w:t>
      </w:r>
      <w:r w:rsidRPr="007E4E64">
        <w:rPr>
          <w:rFonts w:ascii="Calibri" w:eastAsia="Calibri" w:hAnsi="Calibri" w:cs="Times New Roman"/>
          <w:sz w:val="24"/>
          <w:szCs w:val="24"/>
          <w:lang w:val="en-US"/>
        </w:rPr>
        <w:t>] J.A.P. Da Silva, J.W. G Jacobs, J.R. Kirwan, M. Boers, K.G. Saag, L.B.S. Ineˆs, E.J.P. de Koning, F. Buttgereit, M. Cutolo, H. Capell, R. Rau, J.W.J. Bijlsma, Safety of low dose glucocorticoid treatment in rheumatoid arthritis: published evidence and prospective trial data, Ann. Rheum. Dis. 65 (2006) 285-293.</w:t>
      </w:r>
    </w:p>
    <w:p w14:paraId="65F80699"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100</w:t>
      </w:r>
      <w:r w:rsidRPr="007E4E64">
        <w:rPr>
          <w:rFonts w:ascii="Calibri" w:eastAsia="Calibri" w:hAnsi="Calibri" w:cs="Times New Roman"/>
          <w:sz w:val="24"/>
          <w:szCs w:val="24"/>
          <w:lang w:val="en-US"/>
        </w:rPr>
        <w:t>] L. Rossi, S. Serafini, L. Cenerini, F. Picardi, L. Bigi, I. Panzani, M. Magnani, Erythrocyte-mediated delivery of dexamethasone in patients with chronic obstructive pulmonary disease, Biotechnol. Appl. Biochem. 33 (2001) 85-89.</w:t>
      </w:r>
    </w:p>
    <w:p w14:paraId="7721FA37"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101</w:t>
      </w:r>
      <w:r w:rsidRPr="007E4E64">
        <w:rPr>
          <w:rFonts w:ascii="Calibri" w:eastAsia="Calibri" w:hAnsi="Calibri" w:cs="Times New Roman"/>
          <w:sz w:val="24"/>
          <w:szCs w:val="24"/>
          <w:lang w:val="en-US"/>
        </w:rPr>
        <w:t>] L. Rossi, M. Castro, F. D'Orio, G. Damonte, S. Serafini, L. Bigi, I. Panzani, G. Novelli, B. Dallapiccola, S. Panunzi, P. Di Carlo, S. Bella, M. Magnani, Low doses of dexamethasone constantly delivered by autologous erythrocytes slow the progression of lung disease in cystic fibrosis patients, Blood Cells Mol. Dis. 33(1) (2004) 57-63.</w:t>
      </w:r>
    </w:p>
    <w:p w14:paraId="6D88F9A0"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lastRenderedPageBreak/>
        <w:t>[</w:t>
      </w:r>
      <w:r>
        <w:rPr>
          <w:rFonts w:ascii="Calibri" w:eastAsia="Calibri" w:hAnsi="Calibri" w:cs="Times New Roman"/>
          <w:sz w:val="24"/>
          <w:szCs w:val="24"/>
          <w:lang w:val="en-US"/>
        </w:rPr>
        <w:t>102</w:t>
      </w:r>
      <w:r w:rsidRPr="007E4E64">
        <w:rPr>
          <w:rFonts w:ascii="Calibri" w:eastAsia="Calibri" w:hAnsi="Calibri" w:cs="Times New Roman"/>
          <w:sz w:val="24"/>
          <w:szCs w:val="24"/>
          <w:lang w:val="en-US"/>
        </w:rPr>
        <w:t>] V. Annese, A. Latiano, L. Rossi, G. Lombardi, B. Dallapiccola, S. Serafini, G. Damonte, A. Andriulli, M. Magnani, Erythrocytes-mediated delivery of dexamethasone in steroid-dependent IBD patients-a pilot uncontrolled study, Am. J. Gastroenterol. 100(6) (2005) 1370-1375.</w:t>
      </w:r>
    </w:p>
    <w:p w14:paraId="3ADD73D3"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103</w:t>
      </w:r>
      <w:r w:rsidRPr="007E4E64">
        <w:rPr>
          <w:rFonts w:ascii="Calibri" w:eastAsia="Calibri" w:hAnsi="Calibri" w:cs="Times New Roman"/>
          <w:sz w:val="24"/>
          <w:szCs w:val="24"/>
          <w:lang w:val="en-US"/>
        </w:rPr>
        <w:t>] M. Castro, L. Rossi, B. Papadatou, F. Bracci, D. Knafelz, M.I. Ambrosini, A. Calce, S. Serafini, G. Isacchi, F. D'Orio, G. Mambrini, M. Magnani, Long-term treatment with autologous red blood cells loaded with dexamethasone 21-phosphate in pediatric patients affected by steroid-dependent Crohn disease, J. Pediatr. Gastroenterol. Nutr. 44(4) (2007) 423-426.</w:t>
      </w:r>
    </w:p>
    <w:p w14:paraId="5CB13380"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[10</w:t>
      </w:r>
      <w:r>
        <w:rPr>
          <w:rFonts w:ascii="Calibri" w:eastAsia="Calibri" w:hAnsi="Calibri" w:cs="Times New Roman"/>
          <w:sz w:val="24"/>
          <w:szCs w:val="24"/>
          <w:lang w:val="en-US"/>
        </w:rPr>
        <w:t>4</w:t>
      </w:r>
      <w:r w:rsidRPr="007E4E64">
        <w:rPr>
          <w:rFonts w:ascii="Calibri" w:eastAsia="Calibri" w:hAnsi="Calibri" w:cs="Times New Roman"/>
          <w:sz w:val="24"/>
          <w:szCs w:val="24"/>
          <w:lang w:val="en-US"/>
        </w:rPr>
        <w:t>] F. Bossa, V. Annese, M.R. Valvano, A. Latiano, G. Martino, L. Rossi, M. Magnani, O. Palmieri, S. Serafini, G. Damonte, E. De Santo, A. Andriulli, Erythrocytes-mediated delivery of dexamethasone 21-phosphate in steroid-dependent ulcerative colitis: a randomized, double-blind Sham-controlled study, Inflamm. Bowel Dis. 19(9) (2013) 1872-1879.</w:t>
      </w:r>
    </w:p>
    <w:p w14:paraId="1511AB24"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[10</w:t>
      </w:r>
      <w:r>
        <w:rPr>
          <w:rFonts w:ascii="Calibri" w:eastAsia="Calibri" w:hAnsi="Calibri" w:cs="Times New Roman"/>
          <w:sz w:val="24"/>
          <w:szCs w:val="24"/>
          <w:lang w:val="en-US"/>
        </w:rPr>
        <w:t>5</w:t>
      </w:r>
      <w:r w:rsidRPr="007E4E64">
        <w:rPr>
          <w:rFonts w:ascii="Calibri" w:eastAsia="Calibri" w:hAnsi="Calibri" w:cs="Times New Roman"/>
          <w:sz w:val="24"/>
          <w:szCs w:val="24"/>
          <w:lang w:val="en-US"/>
        </w:rPr>
        <w:t>] F. Bossa, A. Latiano, L. Rossi, M. Magnani, O. Palmieri, B. Dallapiccola, S. Serafini, G. Damonte, E. De Santo, A. Andriulli, V. Annese, Erythrocyte-mediated delivery of dexamethasone in patients with mild-to-moderate ulcerative colitis, refractory to mesalamine: a randomized, controlled study, Am. J. Gastroenterol. 103(10) (2008) 2509-2516.</w:t>
      </w:r>
    </w:p>
    <w:p w14:paraId="61DF3E4C" w14:textId="77777777" w:rsidR="005A0E3D" w:rsidRPr="007E4E64" w:rsidRDefault="00B2589E" w:rsidP="005A0E3D">
      <w:pPr>
        <w:spacing w:after="0" w:line="240" w:lineRule="auto"/>
        <w:jc w:val="both"/>
        <w:rPr>
          <w:rFonts w:ascii="Calibri" w:eastAsia="Calibri" w:hAnsi="Calibri" w:cs="Arial"/>
          <w:color w:val="000000"/>
          <w:sz w:val="24"/>
          <w:szCs w:val="24"/>
          <w:shd w:val="clear" w:color="auto" w:fill="FFFFFF"/>
          <w:lang w:val="en-US"/>
        </w:rPr>
      </w:pPr>
      <w:r w:rsidRPr="007E4E64" w:rsidDel="00B2589E">
        <w:rPr>
          <w:rFonts w:ascii="Calibri" w:eastAsia="Calibri" w:hAnsi="Calibri" w:cs="Times New Roman"/>
          <w:sz w:val="24"/>
          <w:szCs w:val="24"/>
          <w:lang w:val="en-US"/>
        </w:rPr>
        <w:t xml:space="preserve"> </w:t>
      </w:r>
      <w:r w:rsidR="005A0E3D" w:rsidRPr="007E4E64">
        <w:rPr>
          <w:rFonts w:ascii="Calibri" w:eastAsia="Calibri" w:hAnsi="Calibri" w:cs="Times New Roman"/>
          <w:sz w:val="24"/>
          <w:szCs w:val="24"/>
          <w:lang w:val="en-US"/>
        </w:rPr>
        <w:t>[10</w:t>
      </w:r>
      <w:r>
        <w:rPr>
          <w:rFonts w:ascii="Calibri" w:eastAsia="Calibri" w:hAnsi="Calibri" w:cs="Times New Roman"/>
          <w:sz w:val="24"/>
          <w:szCs w:val="24"/>
          <w:lang w:val="en-US"/>
        </w:rPr>
        <w:t>6</w:t>
      </w:r>
      <w:r w:rsidR="005A0E3D" w:rsidRPr="007E4E64">
        <w:rPr>
          <w:rFonts w:ascii="Calibri" w:eastAsia="Calibri" w:hAnsi="Calibri" w:cs="Times New Roman"/>
          <w:sz w:val="24"/>
          <w:szCs w:val="24"/>
          <w:lang w:val="en-US"/>
        </w:rPr>
        <w:t xml:space="preserve">] </w:t>
      </w:r>
      <w:r w:rsidR="005A0E3D" w:rsidRPr="007E4E64">
        <w:rPr>
          <w:rFonts w:ascii="Calibri" w:eastAsia="Calibri" w:hAnsi="Calibri" w:cs="Arial"/>
          <w:color w:val="000000"/>
          <w:sz w:val="24"/>
          <w:szCs w:val="24"/>
          <w:shd w:val="clear" w:color="auto" w:fill="FFFFFF"/>
          <w:lang w:val="en-US"/>
        </w:rPr>
        <w:t>M. D’ascenzo, A. Antonelli, L. Chiarantini, U. Mancini, M. Magnani, in: U. Sprandel, J. L. Way (Eds.), Erythrocytes as Drug carriers in Medicine, Plenum Press, New York, 1997, p.81.</w:t>
      </w:r>
    </w:p>
    <w:p w14:paraId="4C65C89E"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[10</w:t>
      </w:r>
      <w:r w:rsidR="00B2589E">
        <w:rPr>
          <w:rFonts w:ascii="Calibri" w:eastAsia="Calibri" w:hAnsi="Calibri" w:cs="Times New Roman"/>
          <w:sz w:val="24"/>
          <w:szCs w:val="24"/>
          <w:lang w:val="en-US"/>
        </w:rPr>
        <w:t>7</w:t>
      </w:r>
      <w:r w:rsidRPr="007E4E64">
        <w:rPr>
          <w:rFonts w:ascii="Calibri" w:eastAsia="Calibri" w:hAnsi="Calibri" w:cs="Times New Roman"/>
          <w:sz w:val="24"/>
          <w:szCs w:val="24"/>
          <w:lang w:val="en-US"/>
        </w:rPr>
        <w:t>] V. Lucidi, A.E. Tozzi, S. Bella, A. Turchetta, A pilot trial on safety and efficacy of erythrocyte-mediated steroid treatment in CF patients, BMC Pediatr. 6 (2006) 17.</w:t>
      </w:r>
    </w:p>
    <w:p w14:paraId="77CE3B86"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[10</w:t>
      </w:r>
      <w:r w:rsidR="00B2589E">
        <w:rPr>
          <w:rFonts w:ascii="Calibri" w:eastAsia="Calibri" w:hAnsi="Calibri" w:cs="Times New Roman"/>
          <w:sz w:val="24"/>
          <w:szCs w:val="24"/>
          <w:lang w:val="en-US"/>
        </w:rPr>
        <w:t>8</w:t>
      </w:r>
      <w:r w:rsidRPr="007E4E64">
        <w:rPr>
          <w:rFonts w:ascii="Calibri" w:eastAsia="Calibri" w:hAnsi="Calibri" w:cs="Times New Roman"/>
          <w:sz w:val="24"/>
          <w:szCs w:val="24"/>
          <w:lang w:val="en-US"/>
        </w:rPr>
        <w:t>] S. Biagiotti, M.F. Paoletti, A. Fraternale, L. Rossi, M. Magnani, Drug delivery by red blood cells, IUBMB Life 63(8) (2011) 621-631.</w:t>
      </w:r>
    </w:p>
    <w:p w14:paraId="3DCE739F"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w:t>
      </w:r>
      <w:r w:rsidR="00B2589E">
        <w:rPr>
          <w:rFonts w:ascii="Calibri" w:eastAsia="Calibri" w:hAnsi="Calibri" w:cs="Times New Roman"/>
          <w:sz w:val="24"/>
          <w:szCs w:val="24"/>
          <w:lang w:val="en-US"/>
        </w:rPr>
        <w:t>09</w:t>
      </w:r>
      <w:r>
        <w:rPr>
          <w:rFonts w:ascii="Calibri" w:eastAsia="Calibri" w:hAnsi="Calibri" w:cs="Times New Roman"/>
          <w:sz w:val="24"/>
          <w:szCs w:val="24"/>
          <w:lang w:val="en-US"/>
        </w:rPr>
        <w:t>]</w:t>
      </w:r>
      <w:r w:rsidRPr="007E4E64">
        <w:rPr>
          <w:rFonts w:ascii="Calibri" w:eastAsia="Calibri" w:hAnsi="Calibri" w:cs="Times New Roman"/>
          <w:sz w:val="24"/>
          <w:szCs w:val="24"/>
          <w:lang w:val="en-US"/>
        </w:rPr>
        <w:t xml:space="preserve"> S. Buoni, R. Zannolli, L. Sorrentino, A. Fois, Betamethasone and improvement of neurological symptoms in ataxia telangiectasia, Arch. </w:t>
      </w:r>
      <w:r w:rsidRPr="000B0A0A">
        <w:rPr>
          <w:rFonts w:ascii="Calibri" w:eastAsia="Calibri" w:hAnsi="Calibri" w:cs="Times New Roman"/>
          <w:sz w:val="24"/>
          <w:szCs w:val="24"/>
        </w:rPr>
        <w:t xml:space="preserve">Neurol. </w:t>
      </w:r>
      <w:r w:rsidRPr="007E4E64">
        <w:rPr>
          <w:rFonts w:ascii="Calibri" w:eastAsia="Calibri" w:hAnsi="Calibri" w:cs="Times New Roman"/>
          <w:sz w:val="24"/>
          <w:szCs w:val="24"/>
        </w:rPr>
        <w:t>63 (2006) 1469–1482.</w:t>
      </w:r>
    </w:p>
    <w:p w14:paraId="343682FD"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rPr>
        <w:t>[1</w:t>
      </w:r>
      <w:r>
        <w:rPr>
          <w:rFonts w:ascii="Calibri" w:eastAsia="Calibri" w:hAnsi="Calibri" w:cs="Times New Roman"/>
          <w:sz w:val="24"/>
          <w:szCs w:val="24"/>
        </w:rPr>
        <w:t>1</w:t>
      </w:r>
      <w:r w:rsidR="00B2589E">
        <w:rPr>
          <w:rFonts w:ascii="Calibri" w:eastAsia="Calibri" w:hAnsi="Calibri" w:cs="Times New Roman"/>
          <w:sz w:val="24"/>
          <w:szCs w:val="24"/>
        </w:rPr>
        <w:t>0</w:t>
      </w:r>
      <w:r w:rsidRPr="007E4E64">
        <w:rPr>
          <w:rFonts w:ascii="Calibri" w:eastAsia="Calibri" w:hAnsi="Calibri" w:cs="Times New Roman"/>
          <w:sz w:val="24"/>
          <w:szCs w:val="24"/>
        </w:rPr>
        <w:t>] T. Broccoletti, E. Del Giudice, S. Amorosi, I. Russo, M. Di Bonito, F. Imperati, A. Romano, C. Pignata, Steroid-induced improvement of neurological signs in ataxia-telangiectasia patients, Eur. J. Neurol. 15 (2008) 223–228.</w:t>
      </w:r>
    </w:p>
    <w:p w14:paraId="2A4BF0CA"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rPr>
        <w:t>[1</w:t>
      </w:r>
      <w:r>
        <w:rPr>
          <w:rFonts w:ascii="Calibri" w:eastAsia="Calibri" w:hAnsi="Calibri" w:cs="Times New Roman"/>
          <w:sz w:val="24"/>
          <w:szCs w:val="24"/>
        </w:rPr>
        <w:t>1</w:t>
      </w:r>
      <w:r w:rsidR="00B2589E">
        <w:rPr>
          <w:rFonts w:ascii="Calibri" w:eastAsia="Calibri" w:hAnsi="Calibri" w:cs="Times New Roman"/>
          <w:sz w:val="24"/>
          <w:szCs w:val="24"/>
        </w:rPr>
        <w:t>1</w:t>
      </w:r>
      <w:r w:rsidRPr="007E4E64">
        <w:rPr>
          <w:rFonts w:ascii="Calibri" w:eastAsia="Calibri" w:hAnsi="Calibri" w:cs="Times New Roman"/>
          <w:sz w:val="24"/>
          <w:szCs w:val="24"/>
        </w:rPr>
        <w:t>] T. Broccoletti, E. Del Giudice, E. Cirillo, I. Vigliano, G. Giardino, V.M. Ginocchio, S. Bruscoli, C. Riccardi, C. Pignata, Efficacy of very-low-dose betamethasone on neurological symptoms in ataxia-telangiectasia, Eur. J. Neurol. 18 (2011) 564–570.</w:t>
      </w:r>
    </w:p>
    <w:p w14:paraId="3E6136CC"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rPr>
        <w:t>[11</w:t>
      </w:r>
      <w:r w:rsidR="00B2589E">
        <w:rPr>
          <w:rFonts w:ascii="Calibri" w:eastAsia="Calibri" w:hAnsi="Calibri" w:cs="Times New Roman"/>
          <w:sz w:val="24"/>
          <w:szCs w:val="24"/>
        </w:rPr>
        <w:t>2</w:t>
      </w:r>
      <w:r w:rsidRPr="007E4E64">
        <w:rPr>
          <w:rFonts w:ascii="Calibri" w:eastAsia="Calibri" w:hAnsi="Calibri" w:cs="Times New Roman"/>
          <w:sz w:val="24"/>
          <w:szCs w:val="24"/>
        </w:rPr>
        <w:t>] I. Russo, C. Cosentino, E. Del Giudice, T. Broccoletti, S. Amorosi, E. Cirillo, G. Aloj, A Fusco, V Costanzo, C Pignata, In ataxia-teleangiectasia betamethasone response is inversely correlated to cerebellar atrophy and directly to antioxidative capacity, Eur. J. Neurol. 16 (2009) 755–759.</w:t>
      </w:r>
    </w:p>
    <w:p w14:paraId="327FF98A" w14:textId="77777777" w:rsidR="005A0E3D" w:rsidRPr="007E4E64" w:rsidRDefault="005A0E3D" w:rsidP="005A0E3D">
      <w:pPr>
        <w:autoSpaceDE w:val="0"/>
        <w:autoSpaceDN w:val="0"/>
        <w:adjustRightInd w:val="0"/>
        <w:spacing w:after="0" w:line="240" w:lineRule="auto"/>
        <w:jc w:val="both"/>
        <w:rPr>
          <w:rFonts w:ascii="Calibri" w:eastAsia="Calibri" w:hAnsi="Calibri" w:cs="Times New Roman"/>
          <w:sz w:val="24"/>
          <w:szCs w:val="24"/>
        </w:rPr>
      </w:pPr>
      <w:r w:rsidRPr="007E4E64">
        <w:rPr>
          <w:rFonts w:ascii="Calibri" w:eastAsia="Calibri" w:hAnsi="Calibri" w:cs="Times New Roman"/>
          <w:sz w:val="24"/>
          <w:szCs w:val="24"/>
        </w:rPr>
        <w:t>[11</w:t>
      </w:r>
      <w:r w:rsidR="00B2589E">
        <w:rPr>
          <w:rFonts w:ascii="Calibri" w:eastAsia="Calibri" w:hAnsi="Calibri" w:cs="Times New Roman"/>
          <w:sz w:val="24"/>
          <w:szCs w:val="24"/>
        </w:rPr>
        <w:t>3</w:t>
      </w:r>
      <w:r w:rsidRPr="007E4E64">
        <w:rPr>
          <w:rFonts w:ascii="Calibri" w:eastAsia="Calibri" w:hAnsi="Calibri" w:cs="Times New Roman"/>
          <w:sz w:val="24"/>
          <w:szCs w:val="24"/>
        </w:rPr>
        <w:t>] L. Chessa, V. Leuzzi, A. Plebani, A. Soresina, R. Micheli, D. D'Agnano, T. Venturi, A. Molinaro, E. Fazzi, M. Marini, P. Ferremi Leali, I. Quinti, F.M. Cavaliere, G. Girelli, M.C. Pietrogrande, A. Finocchi, S. Tabolli, D. Abeni, M. Magnani, Intra-erythrocyte infusion of dexamethasone reduces neurological symptoms in ataxia teleangiectasia patients: results of a phase 2 trial, Orphanet J. Rare Dis. 9 (2014) 5-12.</w:t>
      </w:r>
    </w:p>
    <w:p w14:paraId="7294FD45"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Times New Roman"/>
          <w:color w:val="000000"/>
          <w:sz w:val="24"/>
          <w:szCs w:val="24"/>
          <w:lang w:val="en-US"/>
        </w:rPr>
        <w:t>[11</w:t>
      </w:r>
      <w:r w:rsidR="00B2589E">
        <w:rPr>
          <w:rFonts w:ascii="Calibri" w:eastAsia="Calibri" w:hAnsi="Calibri" w:cs="Times New Roman"/>
          <w:color w:val="000000"/>
          <w:sz w:val="24"/>
          <w:szCs w:val="24"/>
          <w:lang w:val="en-US"/>
        </w:rPr>
        <w:t>4</w:t>
      </w:r>
      <w:r w:rsidRPr="007E4E64">
        <w:rPr>
          <w:rFonts w:ascii="Calibri" w:eastAsia="Calibri" w:hAnsi="Calibri" w:cs="Times New Roman"/>
          <w:color w:val="000000"/>
          <w:sz w:val="24"/>
          <w:szCs w:val="24"/>
          <w:lang w:val="en-US"/>
        </w:rPr>
        <w:t>] P.F. Halloran, Molecular mechanisms of new immunosuppressants, Clinical. Transplant. 10(1) (1996) 118-123.</w:t>
      </w:r>
    </w:p>
    <w:p w14:paraId="58C52D9C"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[11</w:t>
      </w:r>
      <w:r w:rsidR="00B2589E">
        <w:rPr>
          <w:rFonts w:ascii="Calibri" w:eastAsia="Calibri" w:hAnsi="Calibri" w:cs="AdvTT5235d5a9"/>
          <w:color w:val="000000"/>
          <w:sz w:val="24"/>
          <w:szCs w:val="24"/>
          <w:lang w:val="en-US"/>
        </w:rPr>
        <w:t>5</w:t>
      </w:r>
      <w:r w:rsidRPr="007E4E64">
        <w:rPr>
          <w:rFonts w:ascii="Calibri" w:eastAsia="Calibri" w:hAnsi="Calibri" w:cs="AdvTT5235d5a9"/>
          <w:color w:val="000000"/>
          <w:sz w:val="24"/>
          <w:szCs w:val="24"/>
          <w:lang w:val="en-US"/>
        </w:rPr>
        <w:t>] S. Masuda, K. Inui, An update review on individualized dosage adjustment of calcineurin inhibitors in organ transplant patients, Pharmacol. Therapeut. 112(1) (2006) 184-198.</w:t>
      </w:r>
    </w:p>
    <w:p w14:paraId="1F73A918"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[11</w:t>
      </w:r>
      <w:r w:rsidR="00B2589E">
        <w:rPr>
          <w:rFonts w:ascii="Calibri" w:eastAsia="Calibri" w:hAnsi="Calibri" w:cs="AdvTT5235d5a9"/>
          <w:color w:val="000000"/>
          <w:sz w:val="24"/>
          <w:szCs w:val="24"/>
          <w:lang w:val="en-US"/>
        </w:rPr>
        <w:t>6</w:t>
      </w:r>
      <w:r w:rsidRPr="007E4E64">
        <w:rPr>
          <w:rFonts w:ascii="Calibri" w:eastAsia="Calibri" w:hAnsi="Calibri" w:cs="AdvTT5235d5a9"/>
          <w:color w:val="000000"/>
          <w:sz w:val="24"/>
          <w:szCs w:val="24"/>
          <w:lang w:val="en-US"/>
        </w:rPr>
        <w:t>] A.J. Matas, J.M. Smith, M.A. Skeans, K.E. Lamb, S.K. Gustafson, C.J. Samana, D.E. Stewart, J.J. Snyder, A.K. Israni, B.L. Kasiske, OPTN/SRTR 2011 annual data report: kidney, Am. J. Transplant. 13 (2013) 11-46.</w:t>
      </w:r>
    </w:p>
    <w:p w14:paraId="332AB504"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Times New Roman"/>
          <w:color w:val="000000"/>
          <w:sz w:val="24"/>
          <w:szCs w:val="24"/>
          <w:lang w:val="en-US"/>
        </w:rPr>
        <w:t>[11</w:t>
      </w:r>
      <w:r w:rsidR="00B2589E">
        <w:rPr>
          <w:rFonts w:ascii="Calibri" w:eastAsia="Calibri" w:hAnsi="Calibri" w:cs="Times New Roman"/>
          <w:color w:val="000000"/>
          <w:sz w:val="24"/>
          <w:szCs w:val="24"/>
          <w:lang w:val="en-US"/>
        </w:rPr>
        <w:t>7</w:t>
      </w:r>
      <w:r w:rsidRPr="007E4E64">
        <w:rPr>
          <w:rFonts w:ascii="Calibri" w:eastAsia="Calibri" w:hAnsi="Calibri" w:cs="Times New Roman"/>
          <w:color w:val="000000"/>
          <w:sz w:val="24"/>
          <w:szCs w:val="24"/>
          <w:lang w:val="en-US"/>
        </w:rPr>
        <w:t>] A. Johnston, D.W. Holt, Therapeutic drug monitoring of immunosuppressant drugs, Br. J Clin Pharmacol. 47(4) (1999) 339-350.</w:t>
      </w:r>
    </w:p>
    <w:p w14:paraId="086F363E"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Times New Roman"/>
          <w:color w:val="000000"/>
          <w:sz w:val="24"/>
          <w:szCs w:val="24"/>
          <w:lang w:val="en-US"/>
        </w:rPr>
        <w:t>[11</w:t>
      </w:r>
      <w:r w:rsidR="00B2589E">
        <w:rPr>
          <w:rFonts w:ascii="Calibri" w:eastAsia="Calibri" w:hAnsi="Calibri" w:cs="Times New Roman"/>
          <w:color w:val="000000"/>
          <w:sz w:val="24"/>
          <w:szCs w:val="24"/>
          <w:lang w:val="en-US"/>
        </w:rPr>
        <w:t>8</w:t>
      </w:r>
      <w:r w:rsidRPr="007E4E64">
        <w:rPr>
          <w:rFonts w:ascii="Calibri" w:eastAsia="Calibri" w:hAnsi="Calibri" w:cs="Times New Roman"/>
          <w:color w:val="000000"/>
          <w:sz w:val="24"/>
          <w:szCs w:val="24"/>
          <w:lang w:val="en-US"/>
        </w:rPr>
        <w:t>] A. Lindholm, J. Säwe, Pharmacokinetics and therapeutic drug monitoring of immunosuppressants, Ther. Drug Monit. 17(6) (1995) 570-573.</w:t>
      </w:r>
    </w:p>
    <w:p w14:paraId="2D80AF8F"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sidRPr="007E4E64">
        <w:rPr>
          <w:rFonts w:ascii="Calibri" w:eastAsia="Calibri" w:hAnsi="Calibri" w:cs="Times New Roman"/>
          <w:color w:val="000000"/>
          <w:sz w:val="24"/>
          <w:szCs w:val="24"/>
          <w:lang w:val="en-US"/>
        </w:rPr>
        <w:lastRenderedPageBreak/>
        <w:t>[</w:t>
      </w:r>
      <w:r w:rsidR="00B2589E" w:rsidRPr="007E4E64">
        <w:rPr>
          <w:rFonts w:ascii="Calibri" w:eastAsia="Calibri" w:hAnsi="Calibri" w:cs="Times New Roman"/>
          <w:color w:val="000000"/>
          <w:sz w:val="24"/>
          <w:szCs w:val="24"/>
          <w:lang w:val="en-US"/>
        </w:rPr>
        <w:t>1</w:t>
      </w:r>
      <w:r w:rsidR="00B2589E">
        <w:rPr>
          <w:rFonts w:ascii="Calibri" w:eastAsia="Calibri" w:hAnsi="Calibri" w:cs="Times New Roman"/>
          <w:color w:val="000000"/>
          <w:sz w:val="24"/>
          <w:szCs w:val="24"/>
          <w:lang w:val="en-US"/>
        </w:rPr>
        <w:t>19</w:t>
      </w:r>
      <w:r w:rsidRPr="007E4E64">
        <w:rPr>
          <w:rFonts w:ascii="Calibri" w:eastAsia="Calibri" w:hAnsi="Calibri" w:cs="Times New Roman"/>
          <w:color w:val="000000"/>
          <w:sz w:val="24"/>
          <w:szCs w:val="24"/>
          <w:lang w:val="en-US"/>
        </w:rPr>
        <w:t>] A. Johnston, O.J. David, G.F. Cooney, Pharmacokinetic validation of Neoral absorption profile, Transplant. Proc. 32(suppl. 3A) (2000) 53S-56S.</w:t>
      </w:r>
    </w:p>
    <w:p w14:paraId="3CDBBBEB"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sidRPr="007E4E64">
        <w:rPr>
          <w:rFonts w:ascii="Calibri" w:eastAsia="Calibri" w:hAnsi="Calibri" w:cs="Times New Roman"/>
          <w:color w:val="000000"/>
          <w:sz w:val="24"/>
          <w:szCs w:val="24"/>
          <w:lang w:val="en-US"/>
        </w:rPr>
        <w:t>[</w:t>
      </w:r>
      <w:r w:rsidR="00B2589E" w:rsidRPr="007E4E64">
        <w:rPr>
          <w:rFonts w:ascii="Calibri" w:eastAsia="Calibri" w:hAnsi="Calibri" w:cs="Times New Roman"/>
          <w:color w:val="000000"/>
          <w:sz w:val="24"/>
          <w:szCs w:val="24"/>
          <w:lang w:val="en-US"/>
        </w:rPr>
        <w:t>1</w:t>
      </w:r>
      <w:r w:rsidR="00B2589E">
        <w:rPr>
          <w:rFonts w:ascii="Calibri" w:eastAsia="Calibri" w:hAnsi="Calibri" w:cs="Times New Roman"/>
          <w:color w:val="000000"/>
          <w:sz w:val="24"/>
          <w:szCs w:val="24"/>
          <w:lang w:val="en-US"/>
        </w:rPr>
        <w:t>20</w:t>
      </w:r>
      <w:r w:rsidRPr="007E4E64">
        <w:rPr>
          <w:rFonts w:ascii="Calibri" w:eastAsia="Calibri" w:hAnsi="Calibri" w:cs="Times New Roman"/>
          <w:color w:val="000000"/>
          <w:sz w:val="24"/>
          <w:szCs w:val="24"/>
          <w:lang w:val="en-US"/>
        </w:rPr>
        <w:t xml:space="preserve">] H. Ihara, D. Shinkuma, Y. Ichikawa, M. Nojima, S. Nagano, F. Ikoma, </w:t>
      </w:r>
      <w:r w:rsidR="00691A47">
        <w:rPr>
          <w:rFonts w:ascii="Calibri" w:eastAsia="Calibri" w:hAnsi="Calibri" w:cs="Times New Roman"/>
          <w:color w:val="000000"/>
          <w:sz w:val="24"/>
          <w:szCs w:val="24"/>
          <w:lang w:val="en-US"/>
        </w:rPr>
        <w:t>I</w:t>
      </w:r>
      <w:r w:rsidRPr="007E4E64">
        <w:rPr>
          <w:rFonts w:ascii="Calibri" w:eastAsia="Calibri" w:hAnsi="Calibri" w:cs="Times New Roman"/>
          <w:color w:val="000000"/>
          <w:sz w:val="24"/>
          <w:szCs w:val="24"/>
          <w:lang w:val="en-US"/>
        </w:rPr>
        <w:t>ntra and interindividual variation in the pharmacokinetics of tacrolimus (FK506) in kidney transplant recipients-importance of trough levels as a practical indicator, Int. J. Urol. 2(3) (1995) 151-155.</w:t>
      </w:r>
      <w:r w:rsidRPr="007E4E64">
        <w:rPr>
          <w:rFonts w:ascii="Calibri" w:eastAsia="Calibri" w:hAnsi="Calibri" w:cs="AdvTT5235d5a9"/>
          <w:color w:val="000000"/>
          <w:sz w:val="24"/>
          <w:szCs w:val="24"/>
          <w:lang w:val="en-US"/>
        </w:rPr>
        <w:t xml:space="preserve"> </w:t>
      </w:r>
    </w:p>
    <w:p w14:paraId="54C4FE56"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[12</w:t>
      </w:r>
      <w:r w:rsidR="00B2589E">
        <w:rPr>
          <w:rFonts w:ascii="Calibri" w:eastAsia="Calibri" w:hAnsi="Calibri" w:cs="AdvTT5235d5a9"/>
          <w:color w:val="000000"/>
          <w:sz w:val="24"/>
          <w:szCs w:val="24"/>
          <w:lang w:val="en-US"/>
        </w:rPr>
        <w:t>1</w:t>
      </w:r>
      <w:r w:rsidRPr="007E4E64">
        <w:rPr>
          <w:rFonts w:ascii="Calibri" w:eastAsia="Calibri" w:hAnsi="Calibri" w:cs="AdvTT5235d5a9"/>
          <w:color w:val="000000"/>
          <w:sz w:val="24"/>
          <w:szCs w:val="24"/>
          <w:lang w:val="en-US"/>
        </w:rPr>
        <w:t>] K. Iwasaki, Metabolism of tacrolimus (FK506) and recent topics in clinical pharmacokinetics, Drug Metab. Pharmacokinet. 22(5) (2007) 328-335.</w:t>
      </w:r>
    </w:p>
    <w:p w14:paraId="245E0C86"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[12</w:t>
      </w:r>
      <w:r w:rsidR="00B2589E">
        <w:rPr>
          <w:rFonts w:ascii="Calibri" w:eastAsia="Calibri" w:hAnsi="Calibri" w:cs="AdvTT5235d5a9"/>
          <w:color w:val="000000"/>
          <w:sz w:val="24"/>
          <w:szCs w:val="24"/>
          <w:lang w:val="en-US"/>
        </w:rPr>
        <w:t>2</w:t>
      </w:r>
      <w:r w:rsidRPr="007E4E64">
        <w:rPr>
          <w:rFonts w:ascii="Calibri" w:eastAsia="Calibri" w:hAnsi="Calibri" w:cs="AdvTT5235d5a9"/>
          <w:color w:val="000000"/>
          <w:sz w:val="24"/>
          <w:szCs w:val="24"/>
          <w:lang w:val="en-US"/>
        </w:rPr>
        <w:t>] T. Saeki, K. Ueda, Y. Tanigawara, R. Hori, T. Komano, Human P-glycoprotein transports cyclosporin A and FK506, J. Biol. Chem. 268(9) (1993) 6077-6080.</w:t>
      </w:r>
    </w:p>
    <w:p w14:paraId="47133E01"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rPr>
      </w:pPr>
      <w:r w:rsidRPr="007E4E64">
        <w:rPr>
          <w:rFonts w:ascii="Calibri" w:eastAsia="Calibri" w:hAnsi="Calibri" w:cs="Times New Roman"/>
          <w:sz w:val="24"/>
          <w:szCs w:val="24"/>
          <w:lang w:val="en-US"/>
        </w:rPr>
        <w:t>[12</w:t>
      </w:r>
      <w:r w:rsidR="00B2589E">
        <w:rPr>
          <w:rFonts w:ascii="Calibri" w:eastAsia="Calibri" w:hAnsi="Calibri" w:cs="Times New Roman"/>
          <w:sz w:val="24"/>
          <w:szCs w:val="24"/>
          <w:lang w:val="en-US"/>
        </w:rPr>
        <w:t>3</w:t>
      </w:r>
      <w:r w:rsidRPr="007E4E64">
        <w:rPr>
          <w:rFonts w:ascii="Calibri" w:eastAsia="Calibri" w:hAnsi="Calibri" w:cs="Times New Roman"/>
          <w:sz w:val="24"/>
          <w:szCs w:val="24"/>
          <w:lang w:val="en-US"/>
        </w:rPr>
        <w:t xml:space="preserve">] B.D. Kahan, M. Welsh, D.L. Urbauer, M.B. Mosheim, K.M. Beusterien, M.R. Wood, L.P. Schoenberg, J. Dicesare, S.M. Katz, C.T. Van Buren, Low intraindividual variability of cyclosporin a exposure reduces chronic rejection incidence and health care costs, J. Am. Soc. </w:t>
      </w:r>
      <w:r w:rsidRPr="007E4E64">
        <w:rPr>
          <w:rFonts w:ascii="Calibri" w:eastAsia="Calibri" w:hAnsi="Calibri" w:cs="Times New Roman"/>
          <w:sz w:val="24"/>
          <w:szCs w:val="24"/>
        </w:rPr>
        <w:t>Nephrol. 11(6) (2000) 1122-1131.</w:t>
      </w:r>
    </w:p>
    <w:p w14:paraId="483E9796"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sidRPr="007E4E64">
        <w:rPr>
          <w:rFonts w:ascii="Calibri" w:eastAsia="Calibri" w:hAnsi="Calibri" w:cs="Times New Roman"/>
          <w:sz w:val="24"/>
          <w:szCs w:val="24"/>
        </w:rPr>
        <w:t>[12</w:t>
      </w:r>
      <w:r w:rsidR="00691A47">
        <w:rPr>
          <w:rFonts w:ascii="Calibri" w:eastAsia="Calibri" w:hAnsi="Calibri" w:cs="Times New Roman"/>
          <w:sz w:val="24"/>
          <w:szCs w:val="24"/>
        </w:rPr>
        <w:t>4</w:t>
      </w:r>
      <w:r w:rsidRPr="007E4E64">
        <w:rPr>
          <w:rFonts w:ascii="Calibri" w:eastAsia="Calibri" w:hAnsi="Calibri" w:cs="Times New Roman"/>
          <w:sz w:val="24"/>
          <w:szCs w:val="24"/>
        </w:rPr>
        <w:t xml:space="preserve">] G. </w:t>
      </w:r>
      <w:hyperlink r:id="rId23" w:history="1">
        <w:r w:rsidRPr="007E4E64">
          <w:rPr>
            <w:rFonts w:ascii="Calibri" w:eastAsia="Calibri" w:hAnsi="Calibri" w:cs="AdvTT5235d5a9"/>
            <w:color w:val="000000"/>
            <w:sz w:val="24"/>
            <w:szCs w:val="24"/>
          </w:rPr>
          <w:t>Cangemi</w:t>
        </w:r>
      </w:hyperlink>
      <w:r w:rsidRPr="007E4E64">
        <w:rPr>
          <w:rFonts w:ascii="Calibri" w:eastAsia="Calibri" w:hAnsi="Calibri" w:cs="AdvTT5235d5a9"/>
          <w:color w:val="000000"/>
          <w:sz w:val="24"/>
          <w:szCs w:val="24"/>
        </w:rPr>
        <w:t xml:space="preserve">, S. </w:t>
      </w:r>
      <w:hyperlink r:id="rId24" w:history="1">
        <w:r w:rsidRPr="007E4E64">
          <w:rPr>
            <w:rFonts w:ascii="Calibri" w:eastAsia="Calibri" w:hAnsi="Calibri" w:cs="AdvTT5235d5a9"/>
            <w:color w:val="000000"/>
            <w:sz w:val="24"/>
            <w:szCs w:val="24"/>
          </w:rPr>
          <w:t>Barco</w:t>
        </w:r>
      </w:hyperlink>
      <w:r w:rsidRPr="007E4E64">
        <w:rPr>
          <w:rFonts w:ascii="Calibri" w:eastAsia="Calibri" w:hAnsi="Calibri" w:cs="AdvTT5235d5a9"/>
          <w:color w:val="000000"/>
          <w:sz w:val="24"/>
          <w:szCs w:val="24"/>
        </w:rPr>
        <w:t>,</w:t>
      </w:r>
      <w:r w:rsidRPr="007E4E64">
        <w:rPr>
          <w:rFonts w:ascii="Calibri" w:eastAsia="Calibri" w:hAnsi="Calibri" w:cs="Times New Roman"/>
          <w:sz w:val="24"/>
          <w:szCs w:val="24"/>
        </w:rPr>
        <w:t xml:space="preserve"> </w:t>
      </w:r>
      <w:r w:rsidRPr="007E4E64">
        <w:rPr>
          <w:rFonts w:ascii="Calibri" w:eastAsia="Calibri" w:hAnsi="Calibri" w:cs="AdvTT5235d5a9"/>
          <w:color w:val="000000"/>
          <w:sz w:val="24"/>
          <w:szCs w:val="24"/>
        </w:rPr>
        <w:t xml:space="preserve">P. </w:t>
      </w:r>
      <w:hyperlink r:id="rId25" w:history="1">
        <w:r w:rsidR="002871DB" w:rsidRPr="000B0A0A">
          <w:rPr>
            <w:rFonts w:ascii="Calibri" w:eastAsia="Calibri" w:hAnsi="Calibri" w:cs="AdvTT5235d5a9"/>
            <w:color w:val="000000"/>
            <w:sz w:val="24"/>
            <w:szCs w:val="24"/>
          </w:rPr>
          <w:t>Bonifazio</w:t>
        </w:r>
      </w:hyperlink>
      <w:r w:rsidR="002871DB" w:rsidRPr="000B0A0A">
        <w:rPr>
          <w:rFonts w:ascii="Calibri" w:eastAsia="Calibri" w:hAnsi="Calibri" w:cs="AdvTT5235d5a9"/>
          <w:color w:val="000000"/>
          <w:sz w:val="24"/>
          <w:szCs w:val="24"/>
        </w:rPr>
        <w:t>,</w:t>
      </w:r>
      <w:r w:rsidR="002871DB" w:rsidRPr="000B0A0A">
        <w:rPr>
          <w:rFonts w:ascii="Calibri" w:eastAsia="Calibri" w:hAnsi="Calibri" w:cs="Times New Roman"/>
          <w:sz w:val="24"/>
          <w:szCs w:val="24"/>
        </w:rPr>
        <w:t xml:space="preserve"> </w:t>
      </w:r>
      <w:r w:rsidR="002871DB" w:rsidRPr="000B0A0A">
        <w:rPr>
          <w:rFonts w:ascii="Calibri" w:eastAsia="Calibri" w:hAnsi="Calibri" w:cs="AdvTT5235d5a9"/>
          <w:color w:val="000000"/>
          <w:sz w:val="24"/>
          <w:szCs w:val="24"/>
        </w:rPr>
        <w:t xml:space="preserve">A. </w:t>
      </w:r>
      <w:hyperlink r:id="rId26" w:history="1">
        <w:r w:rsidR="002871DB" w:rsidRPr="001565D8">
          <w:rPr>
            <w:rFonts w:ascii="Calibri" w:eastAsia="Calibri" w:hAnsi="Calibri" w:cs="AdvTT5235d5a9"/>
            <w:color w:val="000000"/>
            <w:sz w:val="24"/>
            <w:szCs w:val="24"/>
          </w:rPr>
          <w:t>Maffia</w:t>
        </w:r>
      </w:hyperlink>
      <w:r w:rsidR="002871DB" w:rsidRPr="001565D8">
        <w:rPr>
          <w:rFonts w:ascii="Calibri" w:eastAsia="Calibri" w:hAnsi="Calibri" w:cs="AdvTT5235d5a9"/>
          <w:color w:val="000000"/>
          <w:sz w:val="24"/>
          <w:szCs w:val="24"/>
        </w:rPr>
        <w:t>,</w:t>
      </w:r>
      <w:r w:rsidR="002871DB" w:rsidRPr="001565D8">
        <w:rPr>
          <w:rFonts w:ascii="Calibri" w:eastAsia="Calibri" w:hAnsi="Calibri" w:cs="Times New Roman"/>
          <w:sz w:val="24"/>
          <w:szCs w:val="24"/>
        </w:rPr>
        <w:t xml:space="preserve"> </w:t>
      </w:r>
      <w:r w:rsidR="002871DB" w:rsidRPr="001565D8">
        <w:rPr>
          <w:rFonts w:ascii="Calibri" w:eastAsia="Calibri" w:hAnsi="Calibri" w:cs="AdvTT5235d5a9"/>
          <w:color w:val="000000"/>
          <w:sz w:val="24"/>
          <w:szCs w:val="24"/>
        </w:rPr>
        <w:t xml:space="preserve">A. </w:t>
      </w:r>
      <w:hyperlink r:id="rId27" w:history="1">
        <w:r w:rsidRPr="007E4E64">
          <w:rPr>
            <w:rFonts w:ascii="Calibri" w:eastAsia="Calibri" w:hAnsi="Calibri" w:cs="AdvTT5235d5a9"/>
            <w:color w:val="000000"/>
            <w:sz w:val="24"/>
            <w:szCs w:val="24"/>
            <w:lang w:val="en-US"/>
          </w:rPr>
          <w:t>Agazzi</w:t>
        </w:r>
      </w:hyperlink>
      <w:r w:rsidRPr="007E4E64">
        <w:rPr>
          <w:rFonts w:ascii="Calibri" w:eastAsia="Calibri" w:hAnsi="Calibri" w:cs="AdvTT5235d5a9"/>
          <w:color w:val="000000"/>
          <w:sz w:val="24"/>
          <w:szCs w:val="24"/>
          <w:lang w:val="en-US"/>
        </w:rPr>
        <w:t>, G</w:t>
      </w:r>
      <w:r w:rsidR="00691A47">
        <w:rPr>
          <w:rFonts w:ascii="Calibri" w:eastAsia="Calibri" w:hAnsi="Calibri" w:cs="AdvTT5235d5a9"/>
          <w:color w:val="000000"/>
          <w:sz w:val="24"/>
          <w:szCs w:val="24"/>
          <w:lang w:val="en-US"/>
        </w:rPr>
        <w:t>.</w:t>
      </w:r>
      <w:r w:rsidRPr="007E4E64">
        <w:rPr>
          <w:rFonts w:ascii="Calibri" w:eastAsia="Calibri" w:hAnsi="Calibri" w:cs="AdvTT5235d5a9"/>
          <w:color w:val="000000"/>
          <w:sz w:val="24"/>
          <w:szCs w:val="24"/>
          <w:lang w:val="en-US"/>
        </w:rPr>
        <w:t xml:space="preserve"> </w:t>
      </w:r>
      <w:hyperlink r:id="rId28" w:history="1">
        <w:r w:rsidRPr="007E4E64">
          <w:rPr>
            <w:rFonts w:ascii="Calibri" w:eastAsia="Calibri" w:hAnsi="Calibri" w:cs="AdvTT5235d5a9"/>
            <w:color w:val="000000"/>
            <w:sz w:val="24"/>
            <w:szCs w:val="24"/>
            <w:lang w:val="en-US"/>
          </w:rPr>
          <w:t>Melioli,</w:t>
        </w:r>
      </w:hyperlink>
      <w:r w:rsidRPr="007E4E64">
        <w:rPr>
          <w:rFonts w:ascii="Calibri" w:eastAsia="Calibri" w:hAnsi="Calibri" w:cs="AdvTT5235d5a9"/>
          <w:color w:val="000000"/>
          <w:sz w:val="24"/>
          <w:szCs w:val="24"/>
          <w:lang w:val="en-US"/>
        </w:rPr>
        <w:t xml:space="preserve"> Comparison of antibody-conjugated magnetic immunoassay and liquid chromatography-tandem mass spectrometry for the measurement of cyclosporine and tacrolimus in whole blood, </w:t>
      </w:r>
      <w:hyperlink r:id="rId29" w:tooltip="International journal of immunopathology and pharmacology." w:history="1">
        <w:r w:rsidRPr="007E4E64">
          <w:rPr>
            <w:rFonts w:ascii="Calibri" w:eastAsia="Calibri" w:hAnsi="Calibri" w:cs="AdvTT5235d5a9"/>
            <w:color w:val="000000"/>
            <w:sz w:val="24"/>
            <w:szCs w:val="24"/>
            <w:lang w:val="en-US"/>
          </w:rPr>
          <w:t>Int. J. Immunopathol. Pharmacol.</w:t>
        </w:r>
      </w:hyperlink>
      <w:r w:rsidRPr="007E4E64">
        <w:rPr>
          <w:rFonts w:ascii="Calibri" w:eastAsia="Calibri" w:hAnsi="Calibri" w:cs="AdvTT5235d5a9"/>
          <w:color w:val="000000"/>
          <w:sz w:val="24"/>
          <w:szCs w:val="24"/>
          <w:lang w:val="en-US"/>
        </w:rPr>
        <w:t xml:space="preserve"> 26(2) (2013) 419-426.</w:t>
      </w:r>
    </w:p>
    <w:p w14:paraId="244A2C90" w14:textId="77777777" w:rsidR="005A0E3D" w:rsidRPr="007E4E64" w:rsidRDefault="005A0E3D" w:rsidP="005A0E3D">
      <w:pPr>
        <w:autoSpaceDE w:val="0"/>
        <w:autoSpaceDN w:val="0"/>
        <w:adjustRightInd w:val="0"/>
        <w:spacing w:after="0" w:line="240" w:lineRule="auto"/>
        <w:contextualSpacing/>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[12</w:t>
      </w:r>
      <w:r w:rsidR="00691A47">
        <w:rPr>
          <w:rFonts w:ascii="Calibri" w:eastAsia="Calibri" w:hAnsi="Calibri" w:cs="AdvTT5235d5a9"/>
          <w:color w:val="000000"/>
          <w:sz w:val="24"/>
          <w:szCs w:val="24"/>
          <w:lang w:val="en-US"/>
        </w:rPr>
        <w:t>5</w:t>
      </w:r>
      <w:r w:rsidRPr="007E4E64">
        <w:rPr>
          <w:rFonts w:ascii="Calibri" w:eastAsia="Calibri" w:hAnsi="Calibri" w:cs="AdvTT5235d5a9"/>
          <w:color w:val="000000"/>
          <w:sz w:val="24"/>
          <w:szCs w:val="24"/>
          <w:lang w:val="en-US"/>
        </w:rPr>
        <w:t xml:space="preserve">] M. Menotta, S. Biagiotti, L. Streppa, L. Rossi, M. Magnani, Label-free quantification of Tacrolimus in biological samples by atomic force miscroscopy, Anal. Chim. Acta 884 (2015) 90-96. </w:t>
      </w:r>
    </w:p>
    <w:p w14:paraId="4C9C4656"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[12</w:t>
      </w:r>
      <w:r w:rsidR="00691A47">
        <w:rPr>
          <w:rFonts w:ascii="Calibri" w:eastAsia="Calibri" w:hAnsi="Calibri" w:cs="AdvTT5235d5a9"/>
          <w:color w:val="000000"/>
          <w:sz w:val="24"/>
          <w:szCs w:val="24"/>
          <w:lang w:val="en-US"/>
        </w:rPr>
        <w:t>6</w:t>
      </w:r>
      <w:r w:rsidRPr="007E4E64">
        <w:rPr>
          <w:rFonts w:ascii="Calibri" w:eastAsia="Calibri" w:hAnsi="Calibri" w:cs="AdvTT5235d5a9"/>
          <w:color w:val="000000"/>
          <w:sz w:val="24"/>
          <w:szCs w:val="24"/>
          <w:lang w:val="en-US"/>
        </w:rPr>
        <w:t>] B.M. Foxwell, G. Frazer, M. Winters, P. Hiestand, R. Wenger, B. Ryffel, Identification of cyclop</w:t>
      </w:r>
      <w:r w:rsidR="00691A47">
        <w:rPr>
          <w:rFonts w:ascii="Calibri" w:eastAsia="Calibri" w:hAnsi="Calibri" w:cs="AdvTT5235d5a9"/>
          <w:color w:val="000000"/>
          <w:sz w:val="24"/>
          <w:szCs w:val="24"/>
          <w:lang w:val="en-US"/>
        </w:rPr>
        <w:t>h</w:t>
      </w:r>
      <w:r w:rsidRPr="007E4E64">
        <w:rPr>
          <w:rFonts w:ascii="Calibri" w:eastAsia="Calibri" w:hAnsi="Calibri" w:cs="AdvTT5235d5a9"/>
          <w:color w:val="000000"/>
          <w:sz w:val="24"/>
          <w:szCs w:val="24"/>
          <w:lang w:val="en-US"/>
        </w:rPr>
        <w:t xml:space="preserve">ilin as the erythrocyte ciclosporin-binding protein, Biochim. Biophis. </w:t>
      </w:r>
      <w:r w:rsidR="00691A47">
        <w:rPr>
          <w:rFonts w:ascii="Calibri" w:eastAsia="Calibri" w:hAnsi="Calibri" w:cs="AdvTT5235d5a9"/>
          <w:color w:val="000000"/>
          <w:sz w:val="24"/>
          <w:szCs w:val="24"/>
          <w:lang w:val="en-US"/>
        </w:rPr>
        <w:t>A</w:t>
      </w:r>
      <w:r w:rsidRPr="007E4E64">
        <w:rPr>
          <w:rFonts w:ascii="Calibri" w:eastAsia="Calibri" w:hAnsi="Calibri" w:cs="AdvTT5235d5a9"/>
          <w:color w:val="000000"/>
          <w:sz w:val="24"/>
          <w:szCs w:val="24"/>
          <w:lang w:val="en-US"/>
        </w:rPr>
        <w:t>cta 938(3) (1988) 447-455.</w:t>
      </w:r>
    </w:p>
    <w:p w14:paraId="224329A9"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[12</w:t>
      </w:r>
      <w:r w:rsidR="00691A47">
        <w:rPr>
          <w:rFonts w:ascii="Calibri" w:eastAsia="Calibri" w:hAnsi="Calibri" w:cs="AdvTT5235d5a9"/>
          <w:color w:val="000000"/>
          <w:sz w:val="24"/>
          <w:szCs w:val="24"/>
          <w:lang w:val="en-US"/>
        </w:rPr>
        <w:t>7</w:t>
      </w:r>
      <w:r w:rsidRPr="007E4E64">
        <w:rPr>
          <w:rFonts w:ascii="Calibri" w:eastAsia="Calibri" w:hAnsi="Calibri" w:cs="AdvTT5235d5a9"/>
          <w:color w:val="000000"/>
          <w:sz w:val="24"/>
          <w:szCs w:val="24"/>
          <w:lang w:val="en-US"/>
        </w:rPr>
        <w:t>] F.S. Chow, W. Piekoszewski, W.J. Jusko, Effect of hematocrit and albumin concentration on hepatic clearance of tacrolimus (FK506) during rabbit liver perfusion, Drug Metab. D</w:t>
      </w:r>
      <w:r w:rsidR="00691A47">
        <w:rPr>
          <w:rFonts w:ascii="Calibri" w:eastAsia="Calibri" w:hAnsi="Calibri" w:cs="AdvTT5235d5a9"/>
          <w:color w:val="000000"/>
          <w:sz w:val="24"/>
          <w:szCs w:val="24"/>
          <w:lang w:val="en-US"/>
        </w:rPr>
        <w:t>i</w:t>
      </w:r>
      <w:r w:rsidRPr="007E4E64">
        <w:rPr>
          <w:rFonts w:ascii="Calibri" w:eastAsia="Calibri" w:hAnsi="Calibri" w:cs="AdvTT5235d5a9"/>
          <w:color w:val="000000"/>
          <w:sz w:val="24"/>
          <w:szCs w:val="24"/>
          <w:lang w:val="en-US"/>
        </w:rPr>
        <w:t>spos. 25(5) (1997) 610-616.</w:t>
      </w:r>
    </w:p>
    <w:p w14:paraId="05A1F8C3"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[12</w:t>
      </w:r>
      <w:r w:rsidR="00691A47">
        <w:rPr>
          <w:rFonts w:ascii="Calibri" w:eastAsia="Calibri" w:hAnsi="Calibri" w:cs="AdvTT5235d5a9"/>
          <w:color w:val="000000"/>
          <w:sz w:val="24"/>
          <w:szCs w:val="24"/>
          <w:lang w:val="en-US"/>
        </w:rPr>
        <w:t>8</w:t>
      </w:r>
      <w:r w:rsidRPr="007E4E64">
        <w:rPr>
          <w:rFonts w:ascii="Calibri" w:eastAsia="Calibri" w:hAnsi="Calibri" w:cs="AdvTT5235d5a9"/>
          <w:color w:val="000000"/>
          <w:sz w:val="24"/>
          <w:szCs w:val="24"/>
          <w:lang w:val="en-US"/>
        </w:rPr>
        <w:t>] H. Zahir, R.A. Nand, K.F. Brown, B.N. Tattam, A.J. McLachlan, Validation of methods to study the distribution and protein binding of tacrolimus in human blood. J. Pharmacol. Toxicol. Methods 46(1) (2001) 27-35.</w:t>
      </w:r>
    </w:p>
    <w:p w14:paraId="31D10571"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w:t>
      </w:r>
      <w:r w:rsidR="00691A47" w:rsidRPr="007E4E64">
        <w:rPr>
          <w:rFonts w:ascii="Calibri" w:eastAsia="Calibri" w:hAnsi="Calibri" w:cs="AdvTT5235d5a9"/>
          <w:color w:val="000000"/>
          <w:sz w:val="24"/>
          <w:szCs w:val="24"/>
          <w:lang w:val="en-US"/>
        </w:rPr>
        <w:t>1</w:t>
      </w:r>
      <w:r w:rsidR="00691A47">
        <w:rPr>
          <w:rFonts w:ascii="Calibri" w:eastAsia="Calibri" w:hAnsi="Calibri" w:cs="AdvTT5235d5a9"/>
          <w:color w:val="000000"/>
          <w:sz w:val="24"/>
          <w:szCs w:val="24"/>
          <w:lang w:val="en-US"/>
        </w:rPr>
        <w:t>29</w:t>
      </w:r>
      <w:r w:rsidRPr="007E4E64">
        <w:rPr>
          <w:rFonts w:ascii="Calibri" w:eastAsia="Calibri" w:hAnsi="Calibri" w:cs="AdvTT5235d5a9"/>
          <w:color w:val="000000"/>
          <w:sz w:val="24"/>
          <w:szCs w:val="24"/>
          <w:lang w:val="en-US"/>
        </w:rPr>
        <w:t>] L.D. Walensky, P. Gascard, M.E. Fields, S. Blacksha, J.G. Conboy, N. Mohandas, S.H. Snyder, The 13-kD FK506 binding protein, FKBP13, interacts with a novel homologue of the erythrocyte membrane cytoskeletal protein 4.1, J. cell Biol. 141(1) (1998) 143-153.</w:t>
      </w:r>
    </w:p>
    <w:p w14:paraId="3ACA8729"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w:t>
      </w:r>
      <w:r>
        <w:rPr>
          <w:rFonts w:ascii="Calibri" w:eastAsia="Calibri" w:hAnsi="Calibri" w:cs="AdvTT5235d5a9"/>
          <w:color w:val="000000"/>
          <w:sz w:val="24"/>
          <w:szCs w:val="24"/>
          <w:lang w:val="en-US"/>
        </w:rPr>
        <w:t>3</w:t>
      </w:r>
      <w:r w:rsidR="00691A47">
        <w:rPr>
          <w:rFonts w:ascii="Calibri" w:eastAsia="Calibri" w:hAnsi="Calibri" w:cs="AdvTT5235d5a9"/>
          <w:color w:val="000000"/>
          <w:sz w:val="24"/>
          <w:szCs w:val="24"/>
          <w:lang w:val="en-US"/>
        </w:rPr>
        <w:t>0</w:t>
      </w:r>
      <w:r w:rsidRPr="007E4E64">
        <w:rPr>
          <w:rFonts w:ascii="Calibri" w:eastAsia="Calibri" w:hAnsi="Calibri" w:cs="AdvTT5235d5a9"/>
          <w:color w:val="000000"/>
          <w:sz w:val="24"/>
          <w:szCs w:val="24"/>
          <w:lang w:val="en-US"/>
        </w:rPr>
        <w:t xml:space="preserve">] F. </w:t>
      </w:r>
      <w:hyperlink r:id="rId30" w:history="1">
        <w:r w:rsidRPr="007E4E64">
          <w:rPr>
            <w:rFonts w:ascii="Calibri" w:eastAsia="Calibri" w:hAnsi="Calibri" w:cs="AdvTT5235d5a9"/>
            <w:color w:val="000000"/>
            <w:sz w:val="24"/>
            <w:szCs w:val="24"/>
            <w:lang w:val="en-US"/>
          </w:rPr>
          <w:t>Akhlaghi</w:t>
        </w:r>
      </w:hyperlink>
      <w:r w:rsidRPr="007E4E64">
        <w:rPr>
          <w:rFonts w:ascii="Calibri" w:eastAsia="Calibri" w:hAnsi="Calibri" w:cs="AdvTT5235d5a9"/>
          <w:color w:val="000000"/>
          <w:sz w:val="24"/>
          <w:szCs w:val="24"/>
          <w:lang w:val="en-US"/>
        </w:rPr>
        <w:t xml:space="preserve">, J. </w:t>
      </w:r>
      <w:hyperlink r:id="rId31" w:history="1">
        <w:r w:rsidRPr="007E4E64">
          <w:rPr>
            <w:rFonts w:ascii="Calibri" w:eastAsia="Calibri" w:hAnsi="Calibri" w:cs="AdvTT5235d5a9"/>
            <w:color w:val="000000"/>
            <w:sz w:val="24"/>
            <w:szCs w:val="24"/>
            <w:lang w:val="en-US"/>
          </w:rPr>
          <w:t>Ashley</w:t>
        </w:r>
      </w:hyperlink>
      <w:r w:rsidRPr="007E4E64">
        <w:rPr>
          <w:rFonts w:ascii="Calibri" w:eastAsia="Calibri" w:hAnsi="Calibri" w:cs="AdvTT5235d5a9"/>
          <w:color w:val="000000"/>
          <w:sz w:val="24"/>
          <w:szCs w:val="24"/>
          <w:lang w:val="en-US"/>
        </w:rPr>
        <w:t xml:space="preserve">, A. </w:t>
      </w:r>
      <w:hyperlink r:id="rId32" w:history="1">
        <w:r w:rsidRPr="007E4E64">
          <w:rPr>
            <w:rFonts w:ascii="Calibri" w:eastAsia="Calibri" w:hAnsi="Calibri" w:cs="AdvTT5235d5a9"/>
            <w:color w:val="000000"/>
            <w:sz w:val="24"/>
            <w:szCs w:val="24"/>
            <w:lang w:val="en-US"/>
          </w:rPr>
          <w:t>Keogh</w:t>
        </w:r>
      </w:hyperlink>
      <w:r w:rsidRPr="007E4E64">
        <w:rPr>
          <w:rFonts w:ascii="Calibri" w:eastAsia="Calibri" w:hAnsi="Calibri" w:cs="AdvTT5235d5a9"/>
          <w:color w:val="000000"/>
          <w:sz w:val="24"/>
          <w:szCs w:val="24"/>
          <w:lang w:val="en-US"/>
        </w:rPr>
        <w:t xml:space="preserve">, K. </w:t>
      </w:r>
      <w:hyperlink r:id="rId33" w:history="1">
        <w:r w:rsidRPr="007E4E64">
          <w:rPr>
            <w:rFonts w:ascii="Calibri" w:eastAsia="Calibri" w:hAnsi="Calibri" w:cs="AdvTT5235d5a9"/>
            <w:color w:val="000000"/>
            <w:sz w:val="24"/>
            <w:szCs w:val="24"/>
            <w:lang w:val="en-US"/>
          </w:rPr>
          <w:t>Brown</w:t>
        </w:r>
      </w:hyperlink>
      <w:r w:rsidRPr="007E4E64">
        <w:rPr>
          <w:rFonts w:ascii="Calibri" w:eastAsia="Calibri" w:hAnsi="Calibri" w:cs="AdvTT5235d5a9"/>
          <w:color w:val="000000"/>
          <w:sz w:val="24"/>
          <w:szCs w:val="24"/>
          <w:lang w:val="en-US"/>
        </w:rPr>
        <w:t xml:space="preserve">, Cyclosporine plasma unbound fraction in heart and lung transplantation recipients, </w:t>
      </w:r>
      <w:hyperlink r:id="rId34" w:tooltip="Therapeutic drug monitoring." w:history="1">
        <w:r w:rsidRPr="007E4E64">
          <w:rPr>
            <w:rFonts w:ascii="Calibri" w:eastAsia="Calibri" w:hAnsi="Calibri" w:cs="AdvTT5235d5a9"/>
            <w:color w:val="000000"/>
            <w:sz w:val="24"/>
            <w:szCs w:val="24"/>
            <w:lang w:val="en-US"/>
          </w:rPr>
          <w:t>Ther. Drug Monit.</w:t>
        </w:r>
      </w:hyperlink>
      <w:r w:rsidRPr="007E4E64">
        <w:rPr>
          <w:rFonts w:ascii="Calibri" w:eastAsia="Calibri" w:hAnsi="Calibri" w:cs="AdvTT5235d5a9"/>
          <w:color w:val="000000"/>
          <w:sz w:val="24"/>
          <w:szCs w:val="24"/>
          <w:lang w:val="en-US"/>
        </w:rPr>
        <w:t xml:space="preserve"> 21(1) (1999) 8-16.</w:t>
      </w:r>
    </w:p>
    <w:p w14:paraId="06AFF1D6"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w:t>
      </w:r>
      <w:r>
        <w:rPr>
          <w:rFonts w:ascii="Calibri" w:eastAsia="Calibri" w:hAnsi="Calibri" w:cs="AdvTT5235d5a9"/>
          <w:color w:val="000000"/>
          <w:sz w:val="24"/>
          <w:szCs w:val="24"/>
          <w:lang w:val="en-US"/>
        </w:rPr>
        <w:t>3</w:t>
      </w:r>
      <w:r w:rsidR="00691A47">
        <w:rPr>
          <w:rFonts w:ascii="Calibri" w:eastAsia="Calibri" w:hAnsi="Calibri" w:cs="AdvTT5235d5a9"/>
          <w:color w:val="000000"/>
          <w:sz w:val="24"/>
          <w:szCs w:val="24"/>
          <w:lang w:val="en-US"/>
        </w:rPr>
        <w:t>1</w:t>
      </w:r>
      <w:r w:rsidRPr="007E4E64">
        <w:rPr>
          <w:rFonts w:ascii="Calibri" w:eastAsia="Calibri" w:hAnsi="Calibri" w:cs="AdvTT5235d5a9"/>
          <w:color w:val="000000"/>
          <w:sz w:val="24"/>
          <w:szCs w:val="24"/>
          <w:lang w:val="en-US"/>
        </w:rPr>
        <w:t>] N.A. Undre, Pharmacokinetics of tacrolimus-based combination therapies, Nephrol. Dial. Transplant. 18(1) (2003) i12-15.</w:t>
      </w:r>
    </w:p>
    <w:p w14:paraId="26DD4C3A"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[13</w:t>
      </w:r>
      <w:r w:rsidR="00691A47">
        <w:rPr>
          <w:rFonts w:ascii="Calibri" w:eastAsia="Calibri" w:hAnsi="Calibri" w:cs="AdvTT5235d5a9"/>
          <w:color w:val="000000"/>
          <w:sz w:val="24"/>
          <w:szCs w:val="24"/>
          <w:lang w:val="en-US"/>
        </w:rPr>
        <w:t>2</w:t>
      </w:r>
      <w:r w:rsidRPr="007E4E64">
        <w:rPr>
          <w:rFonts w:ascii="Calibri" w:eastAsia="Calibri" w:hAnsi="Calibri" w:cs="AdvTT5235d5a9"/>
          <w:color w:val="000000"/>
          <w:sz w:val="24"/>
          <w:szCs w:val="24"/>
          <w:lang w:val="en-US"/>
        </w:rPr>
        <w:t>] S. Biagiotti, L. Rossi, M. Bianchi, E. Giacomini, F. Pierigè, G. Serafini, P.G. Conaldi, M. Magnani, Immunophilin-loaded erythrocytes as a new delivery strategy for immunosoppressive drugs, J. Control. Release 154(3) (2011) 306-313.</w:t>
      </w:r>
    </w:p>
    <w:p w14:paraId="12C20A5D"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Pr>
          <w:rFonts w:ascii="Calibri" w:eastAsia="Calibri" w:hAnsi="Calibri" w:cs="AdvTT5235d5a9"/>
          <w:color w:val="000000"/>
          <w:sz w:val="24"/>
          <w:szCs w:val="24"/>
          <w:lang w:val="en-US"/>
        </w:rPr>
        <w:t>[13</w:t>
      </w:r>
      <w:r w:rsidR="00691A47">
        <w:rPr>
          <w:rFonts w:ascii="Calibri" w:eastAsia="Calibri" w:hAnsi="Calibri" w:cs="AdvTT5235d5a9"/>
          <w:color w:val="000000"/>
          <w:sz w:val="24"/>
          <w:szCs w:val="24"/>
          <w:lang w:val="en-US"/>
        </w:rPr>
        <w:t>3</w:t>
      </w:r>
      <w:r w:rsidRPr="007E4E64">
        <w:rPr>
          <w:rFonts w:ascii="Calibri" w:eastAsia="Calibri" w:hAnsi="Calibri" w:cs="AdvTT5235d5a9"/>
          <w:color w:val="000000"/>
          <w:sz w:val="24"/>
          <w:szCs w:val="24"/>
          <w:lang w:val="en-US"/>
        </w:rPr>
        <w:t>] S.F. Göthel, M.A. Marahiel, Peptidyl-prolyl cis-trans isomerases, a superfamily of ubiquitous folding catalysts, Cell Mol. Life Sci. 55(3) (1999) 423-436.</w:t>
      </w:r>
    </w:p>
    <w:p w14:paraId="39145B97"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[13</w:t>
      </w:r>
      <w:r w:rsidR="00691A47">
        <w:rPr>
          <w:rFonts w:ascii="Calibri" w:eastAsia="Calibri" w:hAnsi="Calibri" w:cs="AdvTT5235d5a9"/>
          <w:color w:val="000000"/>
          <w:sz w:val="24"/>
          <w:szCs w:val="24"/>
          <w:lang w:val="en-US"/>
        </w:rPr>
        <w:t>4</w:t>
      </w:r>
      <w:r w:rsidRPr="007E4E64">
        <w:rPr>
          <w:rFonts w:ascii="Calibri" w:eastAsia="Calibri" w:hAnsi="Calibri" w:cs="AdvTT5235d5a9"/>
          <w:color w:val="000000"/>
          <w:sz w:val="24"/>
          <w:szCs w:val="24"/>
          <w:lang w:val="en-US"/>
        </w:rPr>
        <w:t>] T.H. Cox, G.M. Baillie, P. Baliga, Bradycardia associated with intravenous administration of tacrolimus in a liver transplant recipient, Pharmacotherapy 17(6) (1997) 1328-1330.</w:t>
      </w:r>
    </w:p>
    <w:p w14:paraId="5D0A8679"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[13</w:t>
      </w:r>
      <w:r w:rsidR="00691A47">
        <w:rPr>
          <w:rFonts w:ascii="Calibri" w:eastAsia="Calibri" w:hAnsi="Calibri" w:cs="AdvTT5235d5a9"/>
          <w:color w:val="000000"/>
          <w:sz w:val="24"/>
          <w:szCs w:val="24"/>
          <w:lang w:val="en-US"/>
        </w:rPr>
        <w:t>5</w:t>
      </w:r>
      <w:r w:rsidRPr="007E4E64">
        <w:rPr>
          <w:rFonts w:ascii="Calibri" w:eastAsia="Calibri" w:hAnsi="Calibri" w:cs="AdvTT5235d5a9"/>
          <w:color w:val="000000"/>
          <w:sz w:val="24"/>
          <w:szCs w:val="24"/>
          <w:lang w:val="en-US"/>
        </w:rPr>
        <w:t>] S. Takahashi, K. Sugimoto, S. Hishikawa, K. Mizuta, A. Fujimura, H. Kavarasaky, Recurrence of hepatic artery thrombosis following acute tacrolimus overdose in pediatric liver transplant recipient, Pediatr. Transplant. 9(6) (2005) 809-812.</w:t>
      </w:r>
    </w:p>
    <w:p w14:paraId="77D5A8E5"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t>[13</w:t>
      </w:r>
      <w:r w:rsidR="00691A47">
        <w:rPr>
          <w:rFonts w:ascii="Calibri" w:eastAsia="Calibri" w:hAnsi="Calibri" w:cs="AdvTT5235d5a9"/>
          <w:color w:val="000000"/>
          <w:sz w:val="24"/>
          <w:szCs w:val="24"/>
          <w:lang w:val="en-US"/>
        </w:rPr>
        <w:t>6</w:t>
      </w:r>
      <w:r w:rsidRPr="007E4E64">
        <w:rPr>
          <w:rFonts w:ascii="Calibri" w:eastAsia="Calibri" w:hAnsi="Calibri" w:cs="AdvTT5235d5a9"/>
          <w:color w:val="000000"/>
          <w:sz w:val="24"/>
          <w:szCs w:val="24"/>
          <w:lang w:val="en-US"/>
        </w:rPr>
        <w:t>] S. Nicolai, S. Bunyavanich, Hypersensitivity reaction to intravenous but not oral tacrolimus, Transplantation 94(9) (2012) e61-63.</w:t>
      </w:r>
    </w:p>
    <w:p w14:paraId="5ABD4A55" w14:textId="77777777" w:rsidR="005A0E3D" w:rsidRPr="007E4E64" w:rsidRDefault="005A0E3D" w:rsidP="005A0E3D">
      <w:pPr>
        <w:autoSpaceDE w:val="0"/>
        <w:autoSpaceDN w:val="0"/>
        <w:adjustRightInd w:val="0"/>
        <w:spacing w:after="0" w:line="240" w:lineRule="auto"/>
        <w:jc w:val="both"/>
        <w:rPr>
          <w:rFonts w:ascii="Calibri" w:eastAsia="Calibri" w:hAnsi="Calibri" w:cs="AdvTT5235d5a9"/>
          <w:color w:val="000000"/>
          <w:sz w:val="24"/>
          <w:szCs w:val="24"/>
          <w:lang w:val="en-US"/>
        </w:rPr>
      </w:pPr>
      <w:r w:rsidRPr="007E4E64">
        <w:rPr>
          <w:rFonts w:ascii="Calibri" w:eastAsia="Calibri" w:hAnsi="Calibri" w:cs="AdvTT5235d5a9"/>
          <w:color w:val="000000"/>
          <w:sz w:val="24"/>
          <w:szCs w:val="24"/>
          <w:lang w:val="en-US"/>
        </w:rPr>
        <w:lastRenderedPageBreak/>
        <w:t>[13</w:t>
      </w:r>
      <w:r w:rsidR="00691A47">
        <w:rPr>
          <w:rFonts w:ascii="Calibri" w:eastAsia="Calibri" w:hAnsi="Calibri" w:cs="AdvTT5235d5a9"/>
          <w:color w:val="000000"/>
          <w:sz w:val="24"/>
          <w:szCs w:val="24"/>
          <w:lang w:val="en-US"/>
        </w:rPr>
        <w:t>7</w:t>
      </w:r>
      <w:r w:rsidRPr="007E4E64">
        <w:rPr>
          <w:rFonts w:ascii="Calibri" w:eastAsia="Calibri" w:hAnsi="Calibri" w:cs="AdvTT5235d5a9"/>
          <w:color w:val="000000"/>
          <w:sz w:val="24"/>
          <w:szCs w:val="24"/>
          <w:lang w:val="en-US"/>
        </w:rPr>
        <w:t>] S.P. Marinec, L. Chen, K.J. Barr, M.W. Mutz, G.R. Crabtree, J.E. Gestwicki, FK506-binding protein (FKBP) partitions a modified HIV protease inhibitor into blood cells and prolongs its lifetime in vivo, Proc. Natl. Acad. Sci. USA 106(5) (2009) 1336-1341.</w:t>
      </w:r>
    </w:p>
    <w:p w14:paraId="2AD98382"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[13</w:t>
      </w:r>
      <w:r w:rsidR="00691A47">
        <w:rPr>
          <w:rFonts w:ascii="Calibri" w:eastAsia="Calibri" w:hAnsi="Calibri" w:cs="Arial"/>
          <w:color w:val="000000"/>
          <w:sz w:val="24"/>
          <w:szCs w:val="24"/>
          <w:shd w:val="clear" w:color="auto" w:fill="FFFFFF"/>
          <w:lang w:val="en-US"/>
        </w:rPr>
        <w:t>8</w:t>
      </w:r>
      <w:r w:rsidRPr="007E4E64">
        <w:rPr>
          <w:rFonts w:ascii="Calibri" w:eastAsia="Calibri" w:hAnsi="Calibri" w:cs="Arial"/>
          <w:color w:val="000000"/>
          <w:sz w:val="24"/>
          <w:szCs w:val="24"/>
          <w:shd w:val="clear" w:color="auto" w:fill="FFFFFF"/>
          <w:lang w:val="en-US"/>
        </w:rPr>
        <w:t>] B. Ballou, A. Ernst Lauren, S. Waggoner Alan, Fluorescence imaging of tumors in vivo, Curr. Med. Chem. 12 (2005) 795-805.</w:t>
      </w:r>
    </w:p>
    <w:p w14:paraId="7596E9E4"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w:t>
      </w:r>
      <w:r w:rsidR="00691A47" w:rsidRPr="007E4E64">
        <w:rPr>
          <w:rFonts w:ascii="Calibri" w:eastAsia="Calibri" w:hAnsi="Calibri" w:cs="Arial"/>
          <w:color w:val="000000"/>
          <w:sz w:val="24"/>
          <w:szCs w:val="24"/>
          <w:shd w:val="clear" w:color="auto" w:fill="FFFFFF"/>
          <w:lang w:val="en-US"/>
        </w:rPr>
        <w:t>1</w:t>
      </w:r>
      <w:r w:rsidR="00691A47">
        <w:rPr>
          <w:rFonts w:ascii="Calibri" w:eastAsia="Calibri" w:hAnsi="Calibri" w:cs="Arial"/>
          <w:color w:val="000000"/>
          <w:sz w:val="24"/>
          <w:szCs w:val="24"/>
          <w:shd w:val="clear" w:color="auto" w:fill="FFFFFF"/>
          <w:lang w:val="en-US"/>
        </w:rPr>
        <w:t>39</w:t>
      </w:r>
      <w:r w:rsidRPr="007E4E64">
        <w:rPr>
          <w:rFonts w:ascii="Calibri" w:eastAsia="Calibri" w:hAnsi="Calibri" w:cs="Arial"/>
          <w:color w:val="000000"/>
          <w:sz w:val="24"/>
          <w:szCs w:val="24"/>
          <w:shd w:val="clear" w:color="auto" w:fill="FFFFFF"/>
          <w:lang w:val="en-US"/>
        </w:rPr>
        <w:t>] J. Rao, A. Dragulescu-Andrasi, H. Yao, Fluorescence imaging in vivo: recent advances, Curr. Opin. Biotechnol. 18 (2007) 17-25.</w:t>
      </w:r>
    </w:p>
    <w:p w14:paraId="3997BD99"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w:t>
      </w:r>
      <w:r>
        <w:rPr>
          <w:rFonts w:ascii="Calibri" w:eastAsia="Calibri" w:hAnsi="Calibri" w:cs="Arial"/>
          <w:color w:val="000000"/>
          <w:sz w:val="24"/>
          <w:szCs w:val="24"/>
          <w:shd w:val="clear" w:color="auto" w:fill="FFFFFF"/>
          <w:lang w:val="en-US"/>
        </w:rPr>
        <w:t>4</w:t>
      </w:r>
      <w:r w:rsidR="00691A47">
        <w:rPr>
          <w:rFonts w:ascii="Calibri" w:eastAsia="Calibri" w:hAnsi="Calibri" w:cs="Arial"/>
          <w:color w:val="000000"/>
          <w:sz w:val="24"/>
          <w:szCs w:val="24"/>
          <w:shd w:val="clear" w:color="auto" w:fill="FFFFFF"/>
          <w:lang w:val="en-US"/>
        </w:rPr>
        <w:t>0</w:t>
      </w:r>
      <w:r w:rsidRPr="007E4E64">
        <w:rPr>
          <w:rFonts w:ascii="Calibri" w:eastAsia="Calibri" w:hAnsi="Calibri" w:cs="Arial"/>
          <w:color w:val="000000"/>
          <w:sz w:val="24"/>
          <w:szCs w:val="24"/>
          <w:shd w:val="clear" w:color="auto" w:fill="FFFFFF"/>
          <w:lang w:val="en-US"/>
        </w:rPr>
        <w:t>] V. Saxena, M. Sadoqi, J. Shao, Indocyanine green-loaded biodegradable nanoparticles: preparation, physicochemical characterization and in vitro release, Int. J. Pharm. 278 (2004) 293-301.</w:t>
      </w:r>
    </w:p>
    <w:p w14:paraId="0D517478"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w:t>
      </w:r>
      <w:r>
        <w:rPr>
          <w:rFonts w:ascii="Calibri" w:eastAsia="Calibri" w:hAnsi="Calibri" w:cs="Arial"/>
          <w:color w:val="000000"/>
          <w:sz w:val="24"/>
          <w:szCs w:val="24"/>
          <w:shd w:val="clear" w:color="auto" w:fill="FFFFFF"/>
          <w:lang w:val="en-US"/>
        </w:rPr>
        <w:t>4</w:t>
      </w:r>
      <w:r w:rsidR="00691A47">
        <w:rPr>
          <w:rFonts w:ascii="Calibri" w:eastAsia="Calibri" w:hAnsi="Calibri" w:cs="Arial"/>
          <w:color w:val="000000"/>
          <w:sz w:val="24"/>
          <w:szCs w:val="24"/>
          <w:shd w:val="clear" w:color="auto" w:fill="FFFFFF"/>
          <w:lang w:val="en-US"/>
        </w:rPr>
        <w:t>1</w:t>
      </w:r>
      <w:r w:rsidRPr="007E4E64">
        <w:rPr>
          <w:rFonts w:ascii="Calibri" w:eastAsia="Calibri" w:hAnsi="Calibri" w:cs="Arial"/>
          <w:color w:val="000000"/>
          <w:sz w:val="24"/>
          <w:szCs w:val="24"/>
          <w:shd w:val="clear" w:color="auto" w:fill="FFFFFF"/>
          <w:lang w:val="en-US"/>
        </w:rPr>
        <w:t>] G.C. Taichamn, P.J. Hendry, J.K. Wilbert, The Use of Cardio-Green for Intraoperative Vizualization of the Coronary Circulation: Evaluation of Myocardial Toxicity, Tex</w:t>
      </w:r>
      <w:r w:rsidR="00691A47">
        <w:rPr>
          <w:rFonts w:ascii="Calibri" w:eastAsia="Calibri" w:hAnsi="Calibri" w:cs="Arial"/>
          <w:color w:val="000000"/>
          <w:sz w:val="24"/>
          <w:szCs w:val="24"/>
          <w:shd w:val="clear" w:color="auto" w:fill="FFFFFF"/>
          <w:lang w:val="en-US"/>
        </w:rPr>
        <w:t>.</w:t>
      </w:r>
      <w:r w:rsidRPr="007E4E64">
        <w:rPr>
          <w:rFonts w:ascii="Calibri" w:eastAsia="Calibri" w:hAnsi="Calibri" w:cs="Arial"/>
          <w:color w:val="000000"/>
          <w:sz w:val="24"/>
          <w:szCs w:val="24"/>
          <w:shd w:val="clear" w:color="auto" w:fill="FFFFFF"/>
          <w:lang w:val="en-US"/>
        </w:rPr>
        <w:t xml:space="preserve"> Heart Inst. J. 14 (1987) 133-138.</w:t>
      </w:r>
    </w:p>
    <w:p w14:paraId="08EDE9ED"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2</w:t>
      </w:r>
      <w:r w:rsidRPr="007E4E64">
        <w:rPr>
          <w:rFonts w:ascii="Calibri" w:eastAsia="Calibri" w:hAnsi="Calibri" w:cs="Arial"/>
          <w:color w:val="000000"/>
          <w:sz w:val="24"/>
          <w:szCs w:val="24"/>
          <w:shd w:val="clear" w:color="auto" w:fill="FFFFFF"/>
          <w:lang w:val="en-US"/>
        </w:rPr>
        <w:t>] G. Paumgartner, P. Probst, R. Kraines, C.M. Leevy, Kinetics of indocyanine green removal from the blood, Ann. N. Y. Acad. Sci. 170 (1970) 134-147.</w:t>
      </w:r>
    </w:p>
    <w:p w14:paraId="2A33E3C5"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3</w:t>
      </w:r>
      <w:r w:rsidRPr="007E4E64">
        <w:rPr>
          <w:rFonts w:ascii="Calibri" w:eastAsia="Calibri" w:hAnsi="Calibri" w:cs="Arial"/>
          <w:color w:val="000000"/>
          <w:sz w:val="24"/>
          <w:szCs w:val="24"/>
          <w:shd w:val="clear" w:color="auto" w:fill="FFFFFF"/>
          <w:lang w:val="en-US"/>
        </w:rPr>
        <w:t>] J.M. Maarek, D.P. Holschneider, E.H. Rubinstein, Fluorescence dilution technique for measurement of cardiac output and circulating blood volume in healthy human subjects, Anesthesiology 106 (2007) 491-498.</w:t>
      </w:r>
    </w:p>
    <w:p w14:paraId="23B5B8A9"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4</w:t>
      </w:r>
      <w:r w:rsidRPr="007E4E64">
        <w:rPr>
          <w:rFonts w:ascii="Calibri" w:eastAsia="Calibri" w:hAnsi="Calibri" w:cs="Arial"/>
          <w:color w:val="000000"/>
          <w:sz w:val="24"/>
          <w:szCs w:val="24"/>
          <w:shd w:val="clear" w:color="auto" w:fill="FFFFFF"/>
          <w:lang w:val="en-US"/>
        </w:rPr>
        <w:t>] K. Motomura, H. Inaji, Y. Komoike, I. Kasugai, S. Noguchi, H. Koyama, Sentinel Node Biopsy Guided by Indocyanine Green Dye in Breast Cancer Patients, Jpn. J. Clin. Oncol. 29 (1999) 604-607.</w:t>
      </w:r>
    </w:p>
    <w:p w14:paraId="0D79F8CD"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5</w:t>
      </w:r>
      <w:r w:rsidRPr="007E4E64">
        <w:rPr>
          <w:rFonts w:ascii="Calibri" w:eastAsia="Calibri" w:hAnsi="Calibri" w:cs="Arial"/>
          <w:color w:val="000000"/>
          <w:sz w:val="24"/>
          <w:szCs w:val="24"/>
          <w:shd w:val="clear" w:color="auto" w:fill="FFFFFF"/>
          <w:lang w:val="en-US"/>
        </w:rPr>
        <w:t>] B.E. Schaafsma, J.S. Mieog, M. Hutteman, J.R. van der Vorst, P.J. Kuppen, C.W. Löwik, J.V. Frangioni, C.J. van de Velde, A.L. Vahrmeijer, The clinical use of indocyanine green as a near-infrared fluorescent contrast agent for image-guided oncologic surgery, J. Surg. Oncol. 104(3) (2011) 323-332.</w:t>
      </w:r>
    </w:p>
    <w:p w14:paraId="1B4A75F0"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6</w:t>
      </w:r>
      <w:r w:rsidRPr="007E4E64">
        <w:rPr>
          <w:rFonts w:ascii="Calibri" w:eastAsia="Calibri" w:hAnsi="Calibri" w:cs="Arial"/>
          <w:color w:val="000000"/>
          <w:sz w:val="24"/>
          <w:szCs w:val="24"/>
          <w:shd w:val="clear" w:color="auto" w:fill="FFFFFF"/>
          <w:lang w:val="en-US"/>
        </w:rPr>
        <w:t>] J.A. Cardillo, R. Jorge, R.A. Costa, S.M. Nunes, D. Lavinsky, B.D. Kuppermann, A.C. Tedesco, M.E. Farah, Experimental selective choriocapillaris photothrombosis using a modified indocyanine green formulation, Br. J. Ophthalmol. 92 (2008) 276-280.</w:t>
      </w:r>
    </w:p>
    <w:p w14:paraId="129B4B23"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7</w:t>
      </w:r>
      <w:r w:rsidRPr="007E4E64">
        <w:rPr>
          <w:rFonts w:ascii="Calibri" w:eastAsia="Calibri" w:hAnsi="Calibri" w:cs="Arial"/>
          <w:color w:val="000000"/>
          <w:sz w:val="24"/>
          <w:szCs w:val="24"/>
          <w:shd w:val="clear" w:color="auto" w:fill="FFFFFF"/>
          <w:lang w:val="en-US"/>
        </w:rPr>
        <w:t>] S. Yoneya, T. Saito, Y. Komatsu, I. Koyama, K. Takahashi, J. Duvoll-Young, Binding properties of indocyanine green in human blood, Invest. Ophthalmol. Visual. Sci. 39 (1998) 1286-1290.</w:t>
      </w:r>
    </w:p>
    <w:p w14:paraId="6A9E341C"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[14</w:t>
      </w:r>
      <w:r w:rsidR="00691A47">
        <w:rPr>
          <w:rFonts w:ascii="Calibri" w:eastAsia="Calibri" w:hAnsi="Calibri" w:cs="Arial"/>
          <w:color w:val="000000"/>
          <w:sz w:val="24"/>
          <w:szCs w:val="24"/>
          <w:shd w:val="clear" w:color="auto" w:fill="FFFFFF"/>
          <w:lang w:val="en-US"/>
        </w:rPr>
        <w:t>8</w:t>
      </w:r>
      <w:r w:rsidRPr="007E4E64">
        <w:rPr>
          <w:rFonts w:ascii="Calibri" w:eastAsia="Calibri" w:hAnsi="Calibri" w:cs="Arial"/>
          <w:color w:val="000000"/>
          <w:sz w:val="24"/>
          <w:szCs w:val="24"/>
          <w:shd w:val="clear" w:color="auto" w:fill="FFFFFF"/>
          <w:lang w:val="en-US"/>
        </w:rPr>
        <w:t>] T. Desmettre, J.M. Devoisselle, S. Mordon Fluorescence properties and metabolic features of indocyanine green (ICG) as related to angiography, Surv. Ophthalmol. 45 (2000) 15-27.</w:t>
      </w:r>
    </w:p>
    <w:p w14:paraId="5242116E"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w:t>
      </w:r>
      <w:r w:rsidR="00691A47" w:rsidRPr="007E4E64">
        <w:rPr>
          <w:rFonts w:ascii="Calibri" w:eastAsia="Calibri" w:hAnsi="Calibri" w:cs="Arial"/>
          <w:color w:val="000000"/>
          <w:sz w:val="24"/>
          <w:szCs w:val="24"/>
          <w:shd w:val="clear" w:color="auto" w:fill="FFFFFF"/>
          <w:lang w:val="en-US"/>
        </w:rPr>
        <w:t>1</w:t>
      </w:r>
      <w:r w:rsidR="00691A47">
        <w:rPr>
          <w:rFonts w:ascii="Calibri" w:eastAsia="Calibri" w:hAnsi="Calibri" w:cs="Arial"/>
          <w:color w:val="000000"/>
          <w:sz w:val="24"/>
          <w:szCs w:val="24"/>
          <w:shd w:val="clear" w:color="auto" w:fill="FFFFFF"/>
          <w:lang w:val="en-US"/>
        </w:rPr>
        <w:t>49</w:t>
      </w:r>
      <w:r w:rsidRPr="007E4E64">
        <w:rPr>
          <w:rFonts w:ascii="Calibri" w:eastAsia="Calibri" w:hAnsi="Calibri" w:cs="Arial"/>
          <w:color w:val="000000"/>
          <w:sz w:val="24"/>
          <w:szCs w:val="24"/>
          <w:shd w:val="clear" w:color="auto" w:fill="FFFFFF"/>
          <w:lang w:val="en-US"/>
        </w:rPr>
        <w:t>] S. Mordon, J.M. Devoisselle, S. Soulie-Begu, T. Desmettre, Indocyanine green: physicochemical factors affecting its fluorescence in vivo, Microvasc. Res. 55 (1998) 146-152.</w:t>
      </w:r>
    </w:p>
    <w:p w14:paraId="4BA37B15"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Arial"/>
          <w:color w:val="000000"/>
          <w:sz w:val="24"/>
          <w:szCs w:val="24"/>
          <w:shd w:val="clear" w:color="auto" w:fill="FFFFFF"/>
          <w:lang w:val="en-US"/>
        </w:rPr>
        <w:t>[1</w:t>
      </w:r>
      <w:r>
        <w:rPr>
          <w:rFonts w:ascii="Calibri" w:eastAsia="Calibri" w:hAnsi="Calibri" w:cs="Arial"/>
          <w:color w:val="000000"/>
          <w:sz w:val="24"/>
          <w:szCs w:val="24"/>
          <w:shd w:val="clear" w:color="auto" w:fill="FFFFFF"/>
          <w:lang w:val="en-US"/>
        </w:rPr>
        <w:t>5</w:t>
      </w:r>
      <w:r w:rsidR="00691A47">
        <w:rPr>
          <w:rFonts w:ascii="Calibri" w:eastAsia="Calibri" w:hAnsi="Calibri" w:cs="Arial"/>
          <w:color w:val="000000"/>
          <w:sz w:val="24"/>
          <w:szCs w:val="24"/>
          <w:shd w:val="clear" w:color="auto" w:fill="FFFFFF"/>
          <w:lang w:val="en-US"/>
        </w:rPr>
        <w:t>0</w:t>
      </w:r>
      <w:r w:rsidRPr="007E4E64">
        <w:rPr>
          <w:rFonts w:ascii="Calibri" w:eastAsia="Calibri" w:hAnsi="Calibri" w:cs="Arial"/>
          <w:color w:val="000000"/>
          <w:sz w:val="24"/>
          <w:szCs w:val="24"/>
          <w:shd w:val="clear" w:color="auto" w:fill="FFFFFF"/>
          <w:lang w:val="en-US"/>
        </w:rPr>
        <w:t xml:space="preserve">] </w:t>
      </w:r>
      <w:r w:rsidRPr="007E4E64">
        <w:rPr>
          <w:rFonts w:ascii="Calibri" w:eastAsia="Calibri" w:hAnsi="Calibri" w:cs="Times New Roman"/>
          <w:sz w:val="24"/>
          <w:szCs w:val="24"/>
          <w:lang w:val="en-US"/>
        </w:rPr>
        <w:t>Y. Zhang, M. Wang, The Luminescent Properties and Photo-Decay of Sulfosalicylic Acid Doped ORMOSILs, Mater. Lett. 42 (2000) 86-91.</w:t>
      </w:r>
    </w:p>
    <w:p w14:paraId="59B5B177" w14:textId="77777777" w:rsidR="005A0E3D"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w:t>
      </w:r>
      <w:r>
        <w:rPr>
          <w:rFonts w:ascii="Calibri" w:eastAsia="Calibri" w:hAnsi="Calibri" w:cs="Times New Roman"/>
          <w:sz w:val="24"/>
          <w:szCs w:val="24"/>
          <w:lang w:val="en-US"/>
        </w:rPr>
        <w:t>5</w:t>
      </w:r>
      <w:r w:rsidR="00691A47">
        <w:rPr>
          <w:rFonts w:ascii="Calibri" w:eastAsia="Calibri" w:hAnsi="Calibri" w:cs="Times New Roman"/>
          <w:sz w:val="24"/>
          <w:szCs w:val="24"/>
          <w:lang w:val="en-US"/>
        </w:rPr>
        <w:t>1</w:t>
      </w:r>
      <w:r w:rsidRPr="007E4E64">
        <w:rPr>
          <w:rFonts w:ascii="Calibri" w:eastAsia="Calibri" w:hAnsi="Calibri" w:cs="Times New Roman"/>
          <w:sz w:val="24"/>
          <w:szCs w:val="24"/>
          <w:lang w:val="en-US"/>
        </w:rPr>
        <w:t>] V. Saxena, M. Sadoqi, J. Shao, Degradation Kinetics of Indocyanine Green in Aqueous Solution, J. Pharm. Sci. 92 (2003) 2090-2097.</w:t>
      </w:r>
    </w:p>
    <w:p w14:paraId="2A65FE18"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[15</w:t>
      </w:r>
      <w:r w:rsidR="00691A47">
        <w:rPr>
          <w:rFonts w:ascii="Calibri" w:eastAsia="Calibri" w:hAnsi="Calibri" w:cs="Arial"/>
          <w:color w:val="000000"/>
          <w:sz w:val="24"/>
          <w:szCs w:val="24"/>
          <w:shd w:val="clear" w:color="auto" w:fill="FFFFFF"/>
          <w:lang w:val="en-US"/>
        </w:rPr>
        <w:t>2</w:t>
      </w:r>
      <w:r w:rsidRPr="007E4E64">
        <w:rPr>
          <w:rFonts w:ascii="Calibri" w:eastAsia="Calibri" w:hAnsi="Calibri" w:cs="Arial"/>
          <w:color w:val="000000"/>
          <w:sz w:val="24"/>
          <w:szCs w:val="24"/>
          <w:shd w:val="clear" w:color="auto" w:fill="FFFFFF"/>
          <w:lang w:val="en-US"/>
        </w:rPr>
        <w:t>] M.L.J. Landsman, G. Kwant, G.A. Mook, W.G. Zijlstra, Light-Absorbing Properties, Stability, and Spectral Stabilization of Indocyanine Green, J. Appl. Physiol. 40 (1976) 575-583.</w:t>
      </w:r>
    </w:p>
    <w:p w14:paraId="25D1ACB9"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Pr>
          <w:rFonts w:ascii="Calibri" w:eastAsia="Calibri" w:hAnsi="Calibri" w:cs="Arial"/>
          <w:color w:val="000000"/>
          <w:sz w:val="24"/>
          <w:szCs w:val="24"/>
          <w:shd w:val="clear" w:color="auto" w:fill="FFFFFF"/>
          <w:lang w:val="en-US"/>
        </w:rPr>
        <w:t>[15</w:t>
      </w:r>
      <w:r w:rsidR="00691A47">
        <w:rPr>
          <w:rFonts w:ascii="Calibri" w:eastAsia="Calibri" w:hAnsi="Calibri" w:cs="Arial"/>
          <w:color w:val="000000"/>
          <w:sz w:val="24"/>
          <w:szCs w:val="24"/>
          <w:shd w:val="clear" w:color="auto" w:fill="FFFFFF"/>
          <w:lang w:val="en-US"/>
        </w:rPr>
        <w:t>3</w:t>
      </w:r>
      <w:r w:rsidRPr="007E4E64">
        <w:rPr>
          <w:rFonts w:ascii="Calibri" w:eastAsia="Calibri" w:hAnsi="Calibri" w:cs="Arial"/>
          <w:color w:val="000000"/>
          <w:sz w:val="24"/>
          <w:szCs w:val="24"/>
          <w:shd w:val="clear" w:color="auto" w:fill="FFFFFF"/>
          <w:lang w:val="en-US"/>
        </w:rPr>
        <w:t>] Y. Chen, G. Chen, Y. Zhao, W. Wang, Indocyanine Green-Loaded Nanocarriers as Contrast Agents for NIR Fluorescent Optical Imaging, J. Nanomed. Nanotechol. 3 (2012) e122.</w:t>
      </w:r>
    </w:p>
    <w:p w14:paraId="77DBEC0D"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[15</w:t>
      </w:r>
      <w:r w:rsidR="00691A47">
        <w:rPr>
          <w:rFonts w:ascii="Calibri" w:eastAsia="Calibri" w:hAnsi="Calibri" w:cs="Arial"/>
          <w:color w:val="000000"/>
          <w:sz w:val="24"/>
          <w:szCs w:val="24"/>
          <w:shd w:val="clear" w:color="auto" w:fill="FFFFFF"/>
          <w:lang w:val="en-US"/>
        </w:rPr>
        <w:t>4</w:t>
      </w:r>
      <w:r w:rsidRPr="007E4E64">
        <w:rPr>
          <w:rFonts w:ascii="Calibri" w:eastAsia="Calibri" w:hAnsi="Calibri" w:cs="Arial"/>
          <w:color w:val="000000"/>
          <w:sz w:val="24"/>
          <w:szCs w:val="24"/>
          <w:shd w:val="clear" w:color="auto" w:fill="FFFFFF"/>
          <w:lang w:val="en-US"/>
        </w:rPr>
        <w:t>] R.W. Flower, B.F. Hochheimer, Clinical infrared absorption angiography of the choroid, Am. J. Ophthalmol. 73(3) (1972) 458-459.</w:t>
      </w:r>
    </w:p>
    <w:p w14:paraId="4AFBAD6D"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t>[15</w:t>
      </w:r>
      <w:r w:rsidR="00691A47">
        <w:rPr>
          <w:rFonts w:ascii="Calibri" w:eastAsia="Calibri" w:hAnsi="Calibri" w:cs="Arial"/>
          <w:color w:val="000000"/>
          <w:sz w:val="24"/>
          <w:szCs w:val="24"/>
          <w:shd w:val="clear" w:color="auto" w:fill="FFFFFF"/>
          <w:lang w:val="en-US"/>
        </w:rPr>
        <w:t>5</w:t>
      </w:r>
      <w:r w:rsidRPr="007E4E64">
        <w:rPr>
          <w:rFonts w:ascii="Calibri" w:eastAsia="Calibri" w:hAnsi="Calibri" w:cs="Arial"/>
          <w:color w:val="000000"/>
          <w:sz w:val="24"/>
          <w:szCs w:val="24"/>
          <w:shd w:val="clear" w:color="auto" w:fill="FFFFFF"/>
          <w:lang w:val="en-US"/>
        </w:rPr>
        <w:t>] R. Flower, E. Peiretti, M. Magnani, L. Rossi, S. Serafini, Z. Gryczynski, I. Gryczynski, Observation of erythrocyte dynamics in the retinal capillaries and choriocapillaris using ICG-loaded erythrocyte ghost cells, Invest. Ophthalmol. Vis. Sci. 49(12) (2008) 5510-5516.</w:t>
      </w:r>
    </w:p>
    <w:p w14:paraId="34390E6F" w14:textId="77777777" w:rsidR="005A0E3D" w:rsidRPr="007E4E64" w:rsidRDefault="005A0E3D" w:rsidP="005A0E3D">
      <w:pPr>
        <w:spacing w:after="0" w:line="240" w:lineRule="auto"/>
        <w:jc w:val="both"/>
        <w:rPr>
          <w:rFonts w:ascii="Calibri" w:eastAsia="Calibri" w:hAnsi="Calibri" w:cs="Arial"/>
          <w:color w:val="000000"/>
          <w:sz w:val="24"/>
          <w:szCs w:val="24"/>
          <w:shd w:val="clear" w:color="auto" w:fill="FFFFFF"/>
          <w:lang w:val="en-US"/>
        </w:rPr>
      </w:pPr>
      <w:r w:rsidRPr="007E4E64">
        <w:rPr>
          <w:rFonts w:ascii="Calibri" w:eastAsia="Calibri" w:hAnsi="Calibri" w:cs="Arial"/>
          <w:color w:val="000000"/>
          <w:sz w:val="24"/>
          <w:szCs w:val="24"/>
          <w:shd w:val="clear" w:color="auto" w:fill="FFFFFF"/>
          <w:lang w:val="en-US"/>
        </w:rPr>
        <w:lastRenderedPageBreak/>
        <w:t>[15</w:t>
      </w:r>
      <w:r w:rsidR="00691A47">
        <w:rPr>
          <w:rFonts w:ascii="Calibri" w:eastAsia="Calibri" w:hAnsi="Calibri" w:cs="Arial"/>
          <w:color w:val="000000"/>
          <w:sz w:val="24"/>
          <w:szCs w:val="24"/>
          <w:shd w:val="clear" w:color="auto" w:fill="FFFFFF"/>
          <w:lang w:val="en-US"/>
        </w:rPr>
        <w:t>6</w:t>
      </w:r>
      <w:r w:rsidRPr="007E4E64">
        <w:rPr>
          <w:rFonts w:ascii="Calibri" w:eastAsia="Calibri" w:hAnsi="Calibri" w:cs="Arial"/>
          <w:color w:val="000000"/>
          <w:sz w:val="24"/>
          <w:szCs w:val="24"/>
          <w:shd w:val="clear" w:color="auto" w:fill="FFFFFF"/>
          <w:lang w:val="en-US"/>
        </w:rPr>
        <w:t>] G. Caminiti, S.M. Carta, R.W. Flower, L. Rossi, M. Magnani, M. Fossarello, E. Peiretti, Use of ICG-loaded erythrocytes for choroidal angiography in human, pilot study, Poster Board Number B0145, ARVO 2015 Annual Meeting.</w:t>
      </w:r>
    </w:p>
    <w:p w14:paraId="0BEB7804"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[15</w:t>
      </w:r>
      <w:r w:rsidR="00691A47">
        <w:rPr>
          <w:rFonts w:ascii="Calibri" w:eastAsia="Calibri" w:hAnsi="Calibri" w:cs="Times New Roman"/>
          <w:sz w:val="24"/>
          <w:szCs w:val="24"/>
          <w:lang w:val="en-US"/>
        </w:rPr>
        <w:t>7</w:t>
      </w:r>
      <w:r w:rsidRPr="007E4E64">
        <w:rPr>
          <w:rFonts w:ascii="Calibri" w:eastAsia="Calibri" w:hAnsi="Calibri" w:cs="Times New Roman"/>
          <w:sz w:val="24"/>
          <w:szCs w:val="24"/>
          <w:lang w:val="en-US"/>
        </w:rPr>
        <w:t>] T. Sun, Y.S. Zhang, B. Pang, D.C. Hyun, M. Yang, Y. Xia, Engineered nanoparticles for drug delivery in cancer therapy, Angew. Chem. Int. Ed.</w:t>
      </w:r>
      <w:r w:rsidRPr="007E4E64">
        <w:rPr>
          <w:rFonts w:ascii="Calibri" w:eastAsia="Calibri" w:hAnsi="Calibri" w:cs="Times New Roman"/>
          <w:i/>
          <w:sz w:val="24"/>
          <w:szCs w:val="24"/>
          <w:lang w:val="en-US"/>
        </w:rPr>
        <w:t xml:space="preserve"> </w:t>
      </w:r>
      <w:r w:rsidRPr="007E4E64">
        <w:rPr>
          <w:rFonts w:ascii="Calibri" w:eastAsia="Calibri" w:hAnsi="Calibri" w:cs="Times New Roman"/>
          <w:sz w:val="24"/>
          <w:szCs w:val="24"/>
          <w:lang w:val="en-US"/>
        </w:rPr>
        <w:t>Engl. 53 (2014) 12320-12364.</w:t>
      </w:r>
    </w:p>
    <w:p w14:paraId="6367F410"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[15</w:t>
      </w:r>
      <w:r w:rsidR="00691A47">
        <w:rPr>
          <w:rFonts w:ascii="Calibri" w:eastAsia="Calibri" w:hAnsi="Calibri" w:cs="Times New Roman"/>
          <w:sz w:val="24"/>
          <w:szCs w:val="24"/>
          <w:lang w:val="en-US"/>
        </w:rPr>
        <w:t>8</w:t>
      </w:r>
      <w:r w:rsidRPr="007E4E64">
        <w:rPr>
          <w:rFonts w:ascii="Calibri" w:eastAsia="Calibri" w:hAnsi="Calibri" w:cs="Times New Roman"/>
          <w:sz w:val="24"/>
          <w:szCs w:val="24"/>
          <w:lang w:val="en-US"/>
        </w:rPr>
        <w:t>] M. Longmire, P.L. Choyke, H. Kobayashi, Clearance properties of nano-sized particles and molecules as imaging agents: considerations and caveats, Nanomedicine (Lond</w:t>
      </w:r>
      <w:r w:rsidR="00691A47">
        <w:rPr>
          <w:rFonts w:ascii="Calibri" w:eastAsia="Calibri" w:hAnsi="Calibri" w:cs="Times New Roman"/>
          <w:sz w:val="24"/>
          <w:szCs w:val="24"/>
          <w:lang w:val="en-US"/>
        </w:rPr>
        <w:t>.</w:t>
      </w:r>
      <w:r w:rsidRPr="007E4E64">
        <w:rPr>
          <w:rFonts w:ascii="Calibri" w:eastAsia="Calibri" w:hAnsi="Calibri" w:cs="Times New Roman"/>
          <w:sz w:val="24"/>
          <w:szCs w:val="24"/>
          <w:lang w:val="en-US"/>
        </w:rPr>
        <w:t>) 3 (2008) 703-717.</w:t>
      </w:r>
    </w:p>
    <w:p w14:paraId="260AF603" w14:textId="77777777" w:rsidR="005A0E3D"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Pr>
          <w:rFonts w:ascii="Calibri" w:eastAsia="Calibri" w:hAnsi="Calibri" w:cs="Times New Roman"/>
          <w:sz w:val="24"/>
          <w:szCs w:val="24"/>
          <w:lang w:val="en-US"/>
        </w:rPr>
        <w:t>159</w:t>
      </w:r>
      <w:r w:rsidRPr="007E4E64">
        <w:rPr>
          <w:rFonts w:ascii="Calibri" w:eastAsia="Calibri" w:hAnsi="Calibri" w:cs="Times New Roman"/>
          <w:sz w:val="24"/>
          <w:szCs w:val="24"/>
          <w:lang w:val="en-US"/>
        </w:rPr>
        <w:t>] A. Annapragada, Advances in nanoparticle imaging technology for vascular pathologies, Annu. Rev. Med. 66 (2015) 177-193.</w:t>
      </w:r>
    </w:p>
    <w:p w14:paraId="0D8C8FA9"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60</w:t>
      </w:r>
      <w:r w:rsidRPr="007E4E64">
        <w:rPr>
          <w:rFonts w:ascii="Calibri" w:eastAsia="Calibri" w:hAnsi="Calibri" w:cs="Times New Roman"/>
          <w:sz w:val="24"/>
          <w:szCs w:val="24"/>
          <w:lang w:val="en-US"/>
        </w:rPr>
        <w:t>] Z. Zhou, C. Wu, H. Liu, X. Zhu, Z. Zhao, L. Wang, Y. Xu, H. Ai, J. Gao, Surface and interfacial engineering of iron oxide nanoplates for highly efficient magnetic resonance angiography, ACS Nano 9 (2015) 3012-3022.</w:t>
      </w:r>
    </w:p>
    <w:p w14:paraId="646FED35"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w:t>
      </w:r>
      <w:r>
        <w:rPr>
          <w:rFonts w:ascii="Calibri" w:eastAsia="Calibri" w:hAnsi="Calibri" w:cs="Times New Roman"/>
          <w:sz w:val="24"/>
          <w:szCs w:val="24"/>
          <w:lang w:val="en-US"/>
        </w:rPr>
        <w:t>6</w:t>
      </w:r>
      <w:r w:rsidR="00691A47">
        <w:rPr>
          <w:rFonts w:ascii="Calibri" w:eastAsia="Calibri" w:hAnsi="Calibri" w:cs="Times New Roman"/>
          <w:sz w:val="24"/>
          <w:szCs w:val="24"/>
          <w:lang w:val="en-US"/>
        </w:rPr>
        <w:t>1</w:t>
      </w:r>
      <w:r w:rsidRPr="007E4E64">
        <w:rPr>
          <w:rFonts w:ascii="Calibri" w:eastAsia="Calibri" w:hAnsi="Calibri" w:cs="Times New Roman"/>
          <w:sz w:val="24"/>
          <w:szCs w:val="24"/>
          <w:lang w:val="en-US"/>
        </w:rPr>
        <w:t>] G.J. Strijkers, W.J. Mulder, G.A. van Tilborg, K. Nicolay, MRI contrast agents: current status and future perspectives, Anticancer Agents Med. Chem. 7 (2007) 291-305.</w:t>
      </w:r>
    </w:p>
    <w:p w14:paraId="34EBE78A"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[16</w:t>
      </w:r>
      <w:r w:rsidR="00691A47">
        <w:rPr>
          <w:rFonts w:ascii="Calibri" w:eastAsia="Calibri" w:hAnsi="Calibri" w:cs="Times New Roman"/>
          <w:sz w:val="24"/>
          <w:szCs w:val="24"/>
          <w:lang w:val="en-US"/>
        </w:rPr>
        <w:t>2</w:t>
      </w:r>
      <w:r w:rsidRPr="007E4E64">
        <w:rPr>
          <w:rFonts w:ascii="Calibri" w:eastAsia="Calibri" w:hAnsi="Calibri" w:cs="Times New Roman"/>
          <w:sz w:val="24"/>
          <w:szCs w:val="24"/>
          <w:lang w:val="en-US"/>
        </w:rPr>
        <w:t>] R. Lawaczeck, M. Menzel, H. Pietsch, Superparamagnetic iron oxide particles: contrast media for magnetic resonance imaging, Appl. Organometal. Chem. 18 (2004) 506-513.</w:t>
      </w:r>
    </w:p>
    <w:p w14:paraId="591E7871"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[16</w:t>
      </w:r>
      <w:r w:rsidR="00691A47">
        <w:rPr>
          <w:rFonts w:ascii="Calibri" w:eastAsia="Calibri" w:hAnsi="Calibri" w:cs="Times New Roman"/>
          <w:sz w:val="24"/>
          <w:szCs w:val="24"/>
          <w:lang w:val="en-US"/>
        </w:rPr>
        <w:t>3</w:t>
      </w:r>
      <w:r w:rsidRPr="007E4E64">
        <w:rPr>
          <w:rFonts w:ascii="Calibri" w:eastAsia="Calibri" w:hAnsi="Calibri" w:cs="Times New Roman"/>
          <w:sz w:val="24"/>
          <w:szCs w:val="24"/>
          <w:lang w:val="en-US"/>
        </w:rPr>
        <w:t>] Y.X. Wang, Superparamagnetic iron oxide based MRI contrast agents: Current status of clinical application, Quant. Imaging Med. Surg. 1 (2011) 35-40.</w:t>
      </w:r>
    </w:p>
    <w:p w14:paraId="00FF62B1"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16</w:t>
      </w:r>
      <w:r w:rsidR="00691A47">
        <w:rPr>
          <w:rFonts w:ascii="Calibri" w:eastAsia="Calibri" w:hAnsi="Calibri" w:cs="Times New Roman"/>
          <w:sz w:val="24"/>
          <w:szCs w:val="24"/>
          <w:lang w:val="en-US"/>
        </w:rPr>
        <w:t>4</w:t>
      </w:r>
      <w:r w:rsidRPr="007E4E64">
        <w:rPr>
          <w:rFonts w:ascii="Calibri" w:eastAsia="Calibri" w:hAnsi="Calibri" w:cs="Times New Roman"/>
          <w:sz w:val="24"/>
          <w:szCs w:val="24"/>
          <w:lang w:val="en-US"/>
        </w:rPr>
        <w:t>] M. Sigovan, W. Gasper, H.F. Alley, C.D. Owens, D. Saloner, USPIO-enhanced MR angiography of arteriovenous fistulas in patients with renal failure, Radiology 265 (2012) 584-590.</w:t>
      </w:r>
    </w:p>
    <w:p w14:paraId="6079D965"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16</w:t>
      </w:r>
      <w:r w:rsidR="00691A47">
        <w:rPr>
          <w:rFonts w:ascii="Calibri" w:eastAsia="Calibri" w:hAnsi="Calibri" w:cs="Times New Roman"/>
          <w:sz w:val="24"/>
          <w:szCs w:val="24"/>
          <w:lang w:val="en-US"/>
        </w:rPr>
        <w:t>5</w:t>
      </w:r>
      <w:r w:rsidRPr="007E4E64">
        <w:rPr>
          <w:rFonts w:ascii="Calibri" w:eastAsia="Calibri" w:hAnsi="Calibri" w:cs="Times New Roman"/>
          <w:sz w:val="24"/>
          <w:szCs w:val="24"/>
          <w:lang w:val="en-US"/>
        </w:rPr>
        <w:t xml:space="preserve">] FDA Orders Stricter Warnings for Ferumoxytol (Feraheme) [online] Medscape 2015, </w:t>
      </w:r>
      <w:hyperlink r:id="rId35" w:history="1">
        <w:r w:rsidRPr="007E4E64">
          <w:rPr>
            <w:rFonts w:ascii="Calibri" w:eastAsia="Calibri" w:hAnsi="Calibri" w:cs="Times New Roman"/>
            <w:sz w:val="24"/>
            <w:szCs w:val="24"/>
            <w:u w:val="single"/>
            <w:lang w:val="en-US"/>
          </w:rPr>
          <w:t>http://www.medscape.com/viewarticle/842309</w:t>
        </w:r>
      </w:hyperlink>
    </w:p>
    <w:p w14:paraId="3D95E144"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[16</w:t>
      </w:r>
      <w:r w:rsidR="00691A47">
        <w:rPr>
          <w:rFonts w:ascii="Calibri" w:eastAsia="Calibri" w:hAnsi="Calibri" w:cs="Times New Roman"/>
          <w:sz w:val="24"/>
          <w:szCs w:val="24"/>
          <w:lang w:val="en-US"/>
        </w:rPr>
        <w:t>6</w:t>
      </w:r>
      <w:r w:rsidRPr="007E4E64">
        <w:rPr>
          <w:rFonts w:ascii="Calibri" w:eastAsia="Calibri" w:hAnsi="Calibri" w:cs="Times New Roman"/>
          <w:sz w:val="24"/>
          <w:szCs w:val="24"/>
          <w:lang w:val="en-US"/>
        </w:rPr>
        <w:t>] M. Br</w:t>
      </w:r>
      <w:r w:rsidR="00691A47" w:rsidRPr="007E4E64">
        <w:rPr>
          <w:rFonts w:ascii="Calibri" w:eastAsia="Calibri" w:hAnsi="Calibri" w:cs="Times New Roman"/>
          <w:sz w:val="24"/>
          <w:szCs w:val="24"/>
          <w:lang w:val="en-US"/>
        </w:rPr>
        <w:t>ä</w:t>
      </w:r>
      <w:r w:rsidRPr="007E4E64">
        <w:rPr>
          <w:rFonts w:ascii="Calibri" w:eastAsia="Calibri" w:hAnsi="Calibri" w:cs="Times New Roman"/>
          <w:sz w:val="24"/>
          <w:szCs w:val="24"/>
          <w:lang w:val="en-US"/>
        </w:rPr>
        <w:t>hler, R. Georgieva, N. Buske, A. Müller, S. Müller, J. Pinkernelle, U. Teichgräber, A. Voigt, H. Bäumler, Magnetite-loaded carrier erythrocytes as contrast agents for magnetic resonance imaging, Nano Lett. 6 (2006) 2505-2509.</w:t>
      </w:r>
    </w:p>
    <w:p w14:paraId="39EFD062"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[16</w:t>
      </w:r>
      <w:r w:rsidR="00691A47">
        <w:rPr>
          <w:rFonts w:ascii="Calibri" w:eastAsia="Calibri" w:hAnsi="Calibri" w:cs="Times New Roman"/>
          <w:sz w:val="24"/>
          <w:szCs w:val="24"/>
          <w:lang w:val="en-US"/>
        </w:rPr>
        <w:t>7</w:t>
      </w:r>
      <w:r w:rsidRPr="007E4E64">
        <w:rPr>
          <w:rFonts w:ascii="Calibri" w:eastAsia="Calibri" w:hAnsi="Calibri" w:cs="Times New Roman"/>
          <w:sz w:val="24"/>
          <w:szCs w:val="24"/>
          <w:lang w:val="en-US"/>
        </w:rPr>
        <w:t>] N. Stenberg, R. Georgieva, K. Duft, H. Bäumler, Surface modified loaded human red blood cells for targeting and delivery of drugs, J. Microencapsul. 29 (2012) 9-20.</w:t>
      </w:r>
    </w:p>
    <w:p w14:paraId="401A21E8"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Pr>
          <w:rFonts w:ascii="Calibri" w:eastAsia="Calibri" w:hAnsi="Calibri" w:cs="Times New Roman"/>
          <w:sz w:val="24"/>
          <w:szCs w:val="24"/>
          <w:lang w:val="en-US"/>
        </w:rPr>
        <w:t>16</w:t>
      </w:r>
      <w:r w:rsidR="00691A47">
        <w:rPr>
          <w:rFonts w:ascii="Calibri" w:eastAsia="Calibri" w:hAnsi="Calibri" w:cs="Times New Roman"/>
          <w:sz w:val="24"/>
          <w:szCs w:val="24"/>
          <w:lang w:val="en-US"/>
        </w:rPr>
        <w:t>8</w:t>
      </w:r>
      <w:r w:rsidRPr="007E4E64">
        <w:rPr>
          <w:rFonts w:ascii="Calibri" w:eastAsia="Calibri" w:hAnsi="Calibri" w:cs="Times New Roman"/>
          <w:sz w:val="24"/>
          <w:szCs w:val="24"/>
          <w:lang w:val="en-US"/>
        </w:rPr>
        <w:t>] M. Magnani, L. Rossi, A. Fraternale, M. Bianchi, A. Antonelli, R. Crinelli, L. Chiarantini, Erythrocyte-mediated delivery of drugs, peptides and modified oligonucleotides, Gene Ther. 9 (2002) 749-751.</w:t>
      </w:r>
    </w:p>
    <w:p w14:paraId="4593A71C"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Pr>
          <w:rFonts w:ascii="Calibri" w:eastAsia="Calibri" w:hAnsi="Calibri" w:cs="Times New Roman"/>
          <w:sz w:val="24"/>
          <w:szCs w:val="24"/>
          <w:lang w:val="en-US"/>
        </w:rPr>
        <w:t>169</w:t>
      </w:r>
      <w:r w:rsidRPr="007E4E64">
        <w:rPr>
          <w:rFonts w:ascii="Calibri" w:eastAsia="Calibri" w:hAnsi="Calibri" w:cs="Times New Roman"/>
          <w:sz w:val="24"/>
          <w:szCs w:val="24"/>
          <w:lang w:val="en-US"/>
        </w:rPr>
        <w:t>] A. Antonelli, C. Sfara, L. Mosca, E. Manuali, M. Magnani, New biomimetic constructs for improved in vivo circulation of superparamagnetic nanoparticles, J. Nanosci. Nanotechnol. 8 (2008) 2270-2278.</w:t>
      </w:r>
    </w:p>
    <w:p w14:paraId="4C7EB13E"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70</w:t>
      </w:r>
      <w:r w:rsidRPr="007E4E64">
        <w:rPr>
          <w:rFonts w:ascii="Calibri" w:eastAsia="Calibri" w:hAnsi="Calibri" w:cs="Times New Roman"/>
          <w:sz w:val="24"/>
          <w:szCs w:val="24"/>
          <w:lang w:val="en-US"/>
        </w:rPr>
        <w:t>] A. Antonelli, C. Sfara, E. Manuali, I.J. Bruce, M. Magnani, Encapsulation of superparamagnetic nanoparticles into red blood cells as new carriers of MRI contrast agents, Nanomedicine 6 (2011) 211-223.</w:t>
      </w:r>
    </w:p>
    <w:p w14:paraId="336269B9"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71</w:t>
      </w:r>
      <w:r w:rsidRPr="007E4E64">
        <w:rPr>
          <w:rFonts w:ascii="Calibri" w:eastAsia="Calibri" w:hAnsi="Calibri" w:cs="Times New Roman"/>
          <w:sz w:val="24"/>
          <w:szCs w:val="24"/>
          <w:lang w:val="en-US"/>
        </w:rPr>
        <w:t>] G.M. Ihler, H.C. Tsang, Hypotonic hemolysis methods for entrapment of agents in resealed erythrocytes, Methods Enzymol. 149 (1987) 221-229.</w:t>
      </w:r>
    </w:p>
    <w:p w14:paraId="617E9BA6"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[17</w:t>
      </w:r>
      <w:r w:rsidR="00691A47">
        <w:rPr>
          <w:rFonts w:ascii="Calibri" w:eastAsia="Calibri" w:hAnsi="Calibri" w:cs="Times New Roman"/>
          <w:sz w:val="24"/>
          <w:szCs w:val="24"/>
          <w:lang w:val="en-US"/>
        </w:rPr>
        <w:t>2</w:t>
      </w:r>
      <w:r w:rsidRPr="007E4E64">
        <w:rPr>
          <w:rFonts w:ascii="Calibri" w:eastAsia="Calibri" w:hAnsi="Calibri" w:cs="Times New Roman"/>
          <w:sz w:val="24"/>
          <w:szCs w:val="24"/>
          <w:lang w:val="en-US"/>
        </w:rPr>
        <w:t xml:space="preserve">] S.P. Vyas, S.K. Jain, Preparation and in vitro characterization of a magnetically responsive ibuprofen-loaded erythrocytes carrier, J. Microencapsul. 11 (1994) 19-29. </w:t>
      </w:r>
    </w:p>
    <w:p w14:paraId="5126070C"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[17</w:t>
      </w:r>
      <w:r w:rsidR="00691A47">
        <w:rPr>
          <w:rFonts w:ascii="Calibri" w:eastAsia="Calibri" w:hAnsi="Calibri" w:cs="Times New Roman"/>
          <w:sz w:val="24"/>
          <w:szCs w:val="24"/>
          <w:lang w:val="en-US"/>
        </w:rPr>
        <w:t>3</w:t>
      </w:r>
      <w:r w:rsidRPr="007E4E64">
        <w:rPr>
          <w:rFonts w:ascii="Calibri" w:eastAsia="Calibri" w:hAnsi="Calibri" w:cs="Times New Roman"/>
          <w:sz w:val="24"/>
          <w:szCs w:val="24"/>
          <w:lang w:val="en-US"/>
        </w:rPr>
        <w:t>] S.K. Jain and S.P. Vyas, Magnetically responsive diclofenac sodium-loaded erythrocytes: Preparation and in vitro characterization, J. Microencapsul. 11 (1994) 141-151.</w:t>
      </w:r>
    </w:p>
    <w:p w14:paraId="3AE925BC"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[17</w:t>
      </w:r>
      <w:r w:rsidR="00691A47">
        <w:rPr>
          <w:rFonts w:ascii="Calibri" w:eastAsia="Calibri" w:hAnsi="Calibri" w:cs="Times New Roman"/>
          <w:sz w:val="24"/>
          <w:szCs w:val="24"/>
          <w:lang w:val="en-US"/>
        </w:rPr>
        <w:t>4</w:t>
      </w:r>
      <w:r w:rsidRPr="007E4E64">
        <w:rPr>
          <w:rFonts w:ascii="Calibri" w:eastAsia="Calibri" w:hAnsi="Calibri" w:cs="Times New Roman"/>
          <w:sz w:val="24"/>
          <w:szCs w:val="24"/>
          <w:lang w:val="en-US"/>
        </w:rPr>
        <w:t>] A. Antonelli, C. Sfara, S. Battistelli, B. Canonico, M. Arcangeletti, E. Manuali, S. Salamida, S. Papa, M. Magnani, New strategies to prolong the in vivo life span of iron-based contrast agents for MRI, Plos One 8 (2013) e78542.</w:t>
      </w:r>
    </w:p>
    <w:p w14:paraId="1D5976FD"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[17</w:t>
      </w:r>
      <w:r w:rsidR="00691A47">
        <w:rPr>
          <w:rFonts w:ascii="Calibri" w:eastAsia="Calibri" w:hAnsi="Calibri" w:cs="Times New Roman"/>
          <w:sz w:val="24"/>
          <w:szCs w:val="24"/>
          <w:lang w:val="en-US"/>
        </w:rPr>
        <w:t>5</w:t>
      </w:r>
      <w:r w:rsidRPr="007E4E64">
        <w:rPr>
          <w:rFonts w:ascii="Calibri" w:eastAsia="Calibri" w:hAnsi="Calibri" w:cs="Times New Roman"/>
          <w:sz w:val="24"/>
          <w:szCs w:val="24"/>
          <w:lang w:val="en-US"/>
        </w:rPr>
        <w:t xml:space="preserve">] A. Antonelli, C. Sfara, E. Manuali, S. Salamida, G. Louin, M. Magnani, Magnetic red blood cells as new contrast agents for MRI applications, in: J. B. Weaver, R. C. Molthen (Eds.), Medical Imaging </w:t>
      </w:r>
      <w:r w:rsidRPr="007E4E64">
        <w:rPr>
          <w:rFonts w:ascii="Calibri" w:eastAsia="Calibri" w:hAnsi="Calibri" w:cs="Times New Roman"/>
          <w:sz w:val="24"/>
          <w:szCs w:val="24"/>
          <w:lang w:val="en-US"/>
        </w:rPr>
        <w:lastRenderedPageBreak/>
        <w:t>2013: Biomedical Application in Molecular, Structural, and Functional Imaging, SPIE Proceedings vol. 8672, Lake Buena Vista, Florida, United States, 2013, pp. 86721D-1-86721D-4.</w:t>
      </w:r>
    </w:p>
    <w:p w14:paraId="0C368BA6" w14:textId="77777777" w:rsidR="005A0E3D" w:rsidRPr="007E4E64" w:rsidRDefault="005A0E3D" w:rsidP="005A0E3D">
      <w:pPr>
        <w:spacing w:after="0" w:line="240" w:lineRule="auto"/>
        <w:jc w:val="both"/>
        <w:rPr>
          <w:rFonts w:ascii="Calibri" w:eastAsia="Calibri" w:hAnsi="Calibri" w:cs="Times New Roman"/>
          <w:sz w:val="24"/>
          <w:szCs w:val="24"/>
          <w:lang w:val="en-US"/>
        </w:rPr>
      </w:pPr>
      <w:r>
        <w:rPr>
          <w:rFonts w:ascii="Calibri" w:eastAsia="Calibri" w:hAnsi="Calibri" w:cs="Times New Roman"/>
          <w:sz w:val="24"/>
          <w:szCs w:val="24"/>
          <w:lang w:val="en-US"/>
        </w:rPr>
        <w:t>[</w:t>
      </w:r>
      <w:r w:rsidR="00691A47">
        <w:rPr>
          <w:rFonts w:ascii="Calibri" w:eastAsia="Calibri" w:hAnsi="Calibri" w:cs="Times New Roman"/>
          <w:sz w:val="24"/>
          <w:szCs w:val="24"/>
          <w:lang w:val="en-US"/>
        </w:rPr>
        <w:t>176</w:t>
      </w:r>
      <w:r w:rsidRPr="007E4E64">
        <w:rPr>
          <w:rFonts w:ascii="Calibri" w:eastAsia="Calibri" w:hAnsi="Calibri" w:cs="Times New Roman"/>
          <w:sz w:val="24"/>
          <w:szCs w:val="24"/>
          <w:lang w:val="en-US"/>
        </w:rPr>
        <w:t xml:space="preserve">] A. Boni, D. Ceratti, A. Antonelli, C. Sfara, M. Magnani, E. Manuali, S. Salamida, A. Gozzi, A. Bifone, USPIO-loaded red blood cells as a biomimetic MR contrast agent: A relaxometric study, Contrast Media Mol. Imaging 9 (2014) 229-236. </w:t>
      </w:r>
    </w:p>
    <w:p w14:paraId="23981A93"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17</w:t>
      </w:r>
      <w:r w:rsidR="00691A47">
        <w:rPr>
          <w:rFonts w:ascii="Calibri" w:eastAsia="Calibri" w:hAnsi="Calibri" w:cs="Times New Roman"/>
          <w:sz w:val="24"/>
          <w:szCs w:val="24"/>
          <w:lang w:val="en-US"/>
        </w:rPr>
        <w:t>7</w:t>
      </w:r>
      <w:r w:rsidRPr="007E4E64">
        <w:rPr>
          <w:rFonts w:ascii="Calibri" w:eastAsia="Calibri" w:hAnsi="Calibri" w:cs="Times New Roman"/>
          <w:sz w:val="24"/>
          <w:szCs w:val="24"/>
          <w:lang w:val="en-US"/>
        </w:rPr>
        <w:t>] B. Gleich, J. Weizenecker, Tomographic imaging using the nonlinear response of magnetic particles, Nature 435 (2005) 1214-1217.</w:t>
      </w:r>
    </w:p>
    <w:p w14:paraId="1D4046E1"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78</w:t>
      </w:r>
      <w:r w:rsidRPr="007E4E64">
        <w:rPr>
          <w:rFonts w:ascii="Calibri" w:eastAsia="Calibri" w:hAnsi="Calibri" w:cs="Times New Roman"/>
          <w:sz w:val="24"/>
          <w:szCs w:val="24"/>
          <w:lang w:val="en-US"/>
        </w:rPr>
        <w:t>] J. Borgert, J.D. Schmidt, I. Schmale, J. Rahmer, C. Bontus, B. Gleich, B. David, R. Eckart, O. Woywode, J. Weizenecker, J. Schnorr, M. Taupitz, J. Haegele, F. M. Vogt, J. Barkhausen, Fundamentals and applications of magnetic particle imaging, J. Cardiovasc. Comput. Tomogr. 6 (2012) 149-153.</w:t>
      </w:r>
    </w:p>
    <w:p w14:paraId="45EBF889"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79</w:t>
      </w:r>
      <w:r w:rsidRPr="007E4E64">
        <w:rPr>
          <w:rFonts w:ascii="Calibri" w:eastAsia="Calibri" w:hAnsi="Calibri" w:cs="Times New Roman"/>
          <w:sz w:val="24"/>
          <w:szCs w:val="24"/>
          <w:lang w:val="en-US"/>
        </w:rPr>
        <w:t>] J. Rahmer, J. Weizenecker, B. Gleich, J. Borgert, Analysis of a 3-D system function measured for magnetic particle imaging, IEEE Trans. Med. Imaging 31 (2012) 1289-1299.</w:t>
      </w:r>
    </w:p>
    <w:p w14:paraId="08AA6E99"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80</w:t>
      </w:r>
      <w:r w:rsidRPr="007E4E64">
        <w:rPr>
          <w:rFonts w:ascii="Calibri" w:eastAsia="Calibri" w:hAnsi="Calibri" w:cs="Times New Roman"/>
          <w:sz w:val="24"/>
          <w:szCs w:val="24"/>
          <w:lang w:val="en-US"/>
        </w:rPr>
        <w:t>] D.E. Markov, H. Boeve, B. Gleich, J. Borgert, A. Antonelli, C. Sfara, M. Magnani, Human erythrocytes as nanoparticle carriers for magnetic particle imaging, Phys. Med. Biol. 55 (2010) 6461-6473.</w:t>
      </w:r>
    </w:p>
    <w:p w14:paraId="0D619A5C"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sidRPr="007E4E64">
        <w:rPr>
          <w:rFonts w:ascii="Calibri" w:eastAsia="Calibri" w:hAnsi="Calibri" w:cs="Times New Roman"/>
          <w:sz w:val="24"/>
          <w:szCs w:val="24"/>
          <w:lang w:val="en-US"/>
        </w:rPr>
        <w:t>1</w:t>
      </w:r>
      <w:r w:rsidR="00691A47">
        <w:rPr>
          <w:rFonts w:ascii="Calibri" w:eastAsia="Calibri" w:hAnsi="Calibri" w:cs="Times New Roman"/>
          <w:sz w:val="24"/>
          <w:szCs w:val="24"/>
          <w:lang w:val="en-US"/>
        </w:rPr>
        <w:t>81</w:t>
      </w:r>
      <w:r w:rsidRPr="007E4E64">
        <w:rPr>
          <w:rFonts w:ascii="Calibri" w:eastAsia="Calibri" w:hAnsi="Calibri" w:cs="Times New Roman"/>
          <w:sz w:val="24"/>
          <w:szCs w:val="24"/>
          <w:lang w:val="en-US"/>
        </w:rPr>
        <w:t>] Y. Takeuchi, H. Suzuki, H. Sasahara, J. Ueda, I. Yabata, K. Itagaki, S. Saito, K. Murase, Encapsulation of Iron Oxide Nanoparticles into Red Blood Cells as a Potential Contrast Agent for Magnetic Particle Imaging, Adv. Biomed. Eng. 4 (2014) 37-43.</w:t>
      </w:r>
    </w:p>
    <w:p w14:paraId="746B666E" w14:textId="77777777" w:rsidR="005A0E3D" w:rsidRPr="007E4E64" w:rsidRDefault="005A0E3D" w:rsidP="005A0E3D">
      <w:pPr>
        <w:spacing w:after="0" w:line="240" w:lineRule="auto"/>
        <w:jc w:val="both"/>
        <w:rPr>
          <w:rFonts w:ascii="Calibri" w:eastAsia="Calibri" w:hAnsi="Calibri" w:cs="Times New Roman"/>
          <w:sz w:val="24"/>
          <w:szCs w:val="24"/>
          <w:lang w:val="en-US"/>
        </w:rPr>
      </w:pPr>
      <w:r w:rsidRPr="007E4E64">
        <w:rPr>
          <w:rFonts w:ascii="Calibri" w:eastAsia="Calibri" w:hAnsi="Calibri" w:cs="Times New Roman"/>
          <w:sz w:val="24"/>
          <w:szCs w:val="24"/>
          <w:lang w:val="en-US"/>
        </w:rPr>
        <w:t>[</w:t>
      </w:r>
      <w:r w:rsidR="00691A47">
        <w:rPr>
          <w:rFonts w:ascii="Calibri" w:eastAsia="Calibri" w:hAnsi="Calibri" w:cs="Times New Roman"/>
          <w:sz w:val="24"/>
          <w:szCs w:val="24"/>
          <w:lang w:val="en-US"/>
        </w:rPr>
        <w:t>182</w:t>
      </w:r>
      <w:r w:rsidRPr="007E4E64">
        <w:rPr>
          <w:rFonts w:ascii="Calibri" w:eastAsia="Calibri" w:hAnsi="Calibri" w:cs="Times New Roman"/>
          <w:sz w:val="24"/>
          <w:szCs w:val="24"/>
          <w:lang w:val="en-US"/>
        </w:rPr>
        <w:t>] J. Rahmer, A. Antonelli, C. Sfara, B. Tiemann, B. Gleich, M. Magnani, J. Weizenecker, J. Borgert, Nano-particle encapsulation in red blood cells enables blood-pool magnetic particle imaging hours after injection, Phys. Med. Biol. 58 (2013) 3965-3977.</w:t>
      </w:r>
    </w:p>
    <w:p w14:paraId="57456DD7" w14:textId="77777777" w:rsidR="008650A8" w:rsidRPr="0034426D" w:rsidRDefault="008650A8">
      <w:pPr>
        <w:rPr>
          <w:sz w:val="24"/>
          <w:szCs w:val="24"/>
          <w:lang w:val="en-US"/>
        </w:rPr>
      </w:pPr>
      <w:r w:rsidRPr="0034426D">
        <w:rPr>
          <w:sz w:val="24"/>
          <w:szCs w:val="24"/>
          <w:lang w:val="en-US"/>
        </w:rPr>
        <w:br w:type="page"/>
      </w:r>
    </w:p>
    <w:p w14:paraId="1D93AFE4" w14:textId="77777777" w:rsidR="008650A8" w:rsidRPr="0034426D" w:rsidRDefault="008650A8" w:rsidP="008650A8">
      <w:pPr>
        <w:pStyle w:val="Nessunaspaziatura"/>
        <w:spacing w:after="240"/>
        <w:jc w:val="center"/>
        <w:rPr>
          <w:b/>
          <w:sz w:val="24"/>
          <w:szCs w:val="24"/>
          <w:lang w:val="en-US"/>
        </w:rPr>
      </w:pPr>
      <w:r w:rsidRPr="0034426D">
        <w:rPr>
          <w:b/>
          <w:sz w:val="24"/>
          <w:szCs w:val="24"/>
          <w:lang w:val="en-US"/>
        </w:rPr>
        <w:lastRenderedPageBreak/>
        <w:t>Figure captions</w:t>
      </w:r>
    </w:p>
    <w:p w14:paraId="45CF8F0D" w14:textId="77777777" w:rsidR="008650A8" w:rsidRPr="0034426D" w:rsidRDefault="008650A8" w:rsidP="008650A8">
      <w:pPr>
        <w:pStyle w:val="Nessunaspaziatura"/>
        <w:spacing w:after="240"/>
        <w:jc w:val="both"/>
        <w:rPr>
          <w:sz w:val="24"/>
          <w:szCs w:val="24"/>
          <w:lang w:val="en-US"/>
        </w:rPr>
      </w:pPr>
      <w:r w:rsidRPr="0034426D">
        <w:rPr>
          <w:b/>
          <w:sz w:val="24"/>
          <w:szCs w:val="24"/>
          <w:lang w:val="en-US"/>
        </w:rPr>
        <w:t>Figure 1.</w:t>
      </w:r>
      <w:r w:rsidRPr="0034426D">
        <w:rPr>
          <w:sz w:val="24"/>
          <w:szCs w:val="24"/>
          <w:lang w:val="en-US"/>
        </w:rPr>
        <w:t xml:space="preserve"> </w:t>
      </w:r>
      <w:r w:rsidRPr="0034426D">
        <w:rPr>
          <w:b/>
          <w:sz w:val="24"/>
          <w:szCs w:val="24"/>
          <w:lang w:val="en-US"/>
        </w:rPr>
        <w:t>Enzyme-loaded red blood cell</w:t>
      </w:r>
      <w:r w:rsidR="00627AA9">
        <w:rPr>
          <w:b/>
          <w:sz w:val="24"/>
          <w:szCs w:val="24"/>
          <w:lang w:val="en-US"/>
        </w:rPr>
        <w:t>s</w:t>
      </w:r>
      <w:r w:rsidRPr="0034426D">
        <w:rPr>
          <w:b/>
          <w:sz w:val="24"/>
          <w:szCs w:val="24"/>
          <w:lang w:val="en-US"/>
        </w:rPr>
        <w:t xml:space="preserve"> at work</w:t>
      </w:r>
      <w:r w:rsidRPr="0034426D">
        <w:rPr>
          <w:sz w:val="24"/>
          <w:szCs w:val="24"/>
          <w:lang w:val="en-US"/>
        </w:rPr>
        <w:t>. The picture shows how enzyme</w:t>
      </w:r>
      <w:r w:rsidR="008E33EF" w:rsidRPr="0034426D">
        <w:rPr>
          <w:sz w:val="24"/>
          <w:szCs w:val="24"/>
          <w:lang w:val="en-US"/>
        </w:rPr>
        <w:t>-</w:t>
      </w:r>
      <w:r w:rsidRPr="0034426D">
        <w:rPr>
          <w:sz w:val="24"/>
          <w:szCs w:val="24"/>
          <w:lang w:val="en-US"/>
        </w:rPr>
        <w:t xml:space="preserve">loaded red blood cells are able to reduce </w:t>
      </w:r>
      <w:r w:rsidR="008E33EF" w:rsidRPr="0034426D">
        <w:rPr>
          <w:sz w:val="24"/>
          <w:szCs w:val="24"/>
          <w:lang w:val="en-US"/>
        </w:rPr>
        <w:t xml:space="preserve">high </w:t>
      </w:r>
      <w:r w:rsidRPr="0034426D">
        <w:rPr>
          <w:sz w:val="24"/>
          <w:szCs w:val="24"/>
          <w:lang w:val="en-US"/>
        </w:rPr>
        <w:t>levels of toxic or unwanted substrates to physiological «safe» values. Moreover, circulati</w:t>
      </w:r>
      <w:r w:rsidR="008E33EF" w:rsidRPr="0034426D">
        <w:rPr>
          <w:sz w:val="24"/>
          <w:szCs w:val="24"/>
          <w:lang w:val="en-US"/>
        </w:rPr>
        <w:t>ng</w:t>
      </w:r>
      <w:r w:rsidRPr="0034426D">
        <w:rPr>
          <w:sz w:val="24"/>
          <w:szCs w:val="24"/>
          <w:lang w:val="en-US"/>
        </w:rPr>
        <w:t xml:space="preserve"> enzyme-neutralizing IgGs ha</w:t>
      </w:r>
      <w:r w:rsidR="008E33EF" w:rsidRPr="0034426D">
        <w:rPr>
          <w:sz w:val="24"/>
          <w:szCs w:val="24"/>
          <w:lang w:val="en-US"/>
        </w:rPr>
        <w:t>ve</w:t>
      </w:r>
      <w:r w:rsidRPr="0034426D">
        <w:rPr>
          <w:sz w:val="24"/>
          <w:szCs w:val="24"/>
          <w:lang w:val="en-US"/>
        </w:rPr>
        <w:t xml:space="preserve"> no effect on enzyme activity thanks to the internalization of </w:t>
      </w:r>
      <w:r w:rsidR="008E33EF" w:rsidRPr="0034426D">
        <w:rPr>
          <w:sz w:val="24"/>
          <w:szCs w:val="24"/>
          <w:lang w:val="en-US"/>
        </w:rPr>
        <w:t>the</w:t>
      </w:r>
      <w:r w:rsidRPr="0034426D">
        <w:rPr>
          <w:sz w:val="24"/>
          <w:szCs w:val="24"/>
          <w:lang w:val="en-US"/>
        </w:rPr>
        <w:t xml:space="preserve"> therapeutic enzyme inside the cell. TS: Toxic substrate (i.e. phenylalanine; adenosine and deoxyadenosine; thymidine and deoxyuridine); E: Therapeutic enzyme (i.e. Phenylalanine ammonia lyase, Thymidine phosphorylase, Adenosine deaminase); P: product of the intracellular reaction; PKU: phenylketonuria; MNGIE: Mitochondrial neurogastrointestinal encephalo</w:t>
      </w:r>
      <w:r w:rsidR="008E33EF" w:rsidRPr="0034426D">
        <w:rPr>
          <w:sz w:val="24"/>
          <w:szCs w:val="24"/>
          <w:lang w:val="en-US"/>
        </w:rPr>
        <w:t>mio</w:t>
      </w:r>
      <w:r w:rsidRPr="0034426D">
        <w:rPr>
          <w:sz w:val="24"/>
          <w:szCs w:val="24"/>
          <w:lang w:val="en-US"/>
        </w:rPr>
        <w:t>pathy syndrome; SCID: Severe combined immunodeficiency.</w:t>
      </w:r>
    </w:p>
    <w:p w14:paraId="46AFBBAA" w14:textId="77777777" w:rsidR="008650A8" w:rsidRPr="0034426D" w:rsidRDefault="008650A8" w:rsidP="008650A8">
      <w:pPr>
        <w:pStyle w:val="Nessunaspaziatura"/>
        <w:spacing w:after="240"/>
        <w:jc w:val="both"/>
        <w:rPr>
          <w:rFonts w:cs="AdvP5D8B"/>
          <w:sz w:val="24"/>
          <w:szCs w:val="24"/>
          <w:lang w:val="en-US"/>
        </w:rPr>
      </w:pPr>
      <w:r w:rsidRPr="0034426D">
        <w:rPr>
          <w:rFonts w:cs="AdvP5D8B"/>
          <w:b/>
          <w:bCs/>
          <w:sz w:val="24"/>
          <w:szCs w:val="24"/>
          <w:lang w:val="en-US"/>
        </w:rPr>
        <w:t xml:space="preserve">Figure 2. Erythrocyte-mediated slow delivery. </w:t>
      </w:r>
      <w:r w:rsidRPr="0034426D">
        <w:rPr>
          <w:rFonts w:cs="AdvP5D8B"/>
          <w:sz w:val="24"/>
          <w:szCs w:val="24"/>
          <w:lang w:val="en-US"/>
        </w:rPr>
        <w:t xml:space="preserve">IE: Intracellular enzyme; PRODRUG: pharmacologically inactive and non-diffusible form of </w:t>
      </w:r>
      <w:r w:rsidR="008E33EF" w:rsidRPr="0034426D">
        <w:rPr>
          <w:rFonts w:cs="AdvP5D8B"/>
          <w:sz w:val="24"/>
          <w:szCs w:val="24"/>
          <w:lang w:val="en-US"/>
        </w:rPr>
        <w:t xml:space="preserve">the </w:t>
      </w:r>
      <w:r w:rsidRPr="0034426D">
        <w:rPr>
          <w:rFonts w:cs="AdvP5D8B"/>
          <w:sz w:val="24"/>
          <w:szCs w:val="24"/>
          <w:lang w:val="en-US"/>
        </w:rPr>
        <w:t xml:space="preserve">therapeutic compound that is metabolized into an active diffusible form </w:t>
      </w:r>
      <w:r w:rsidR="00A03B5E">
        <w:rPr>
          <w:rFonts w:cs="AdvP5D8B"/>
          <w:sz w:val="24"/>
          <w:szCs w:val="24"/>
          <w:lang w:val="en-US"/>
        </w:rPr>
        <w:t>inside</w:t>
      </w:r>
      <w:r w:rsidR="00A03B5E" w:rsidRPr="0034426D">
        <w:rPr>
          <w:rFonts w:cs="AdvP5D8B"/>
          <w:sz w:val="24"/>
          <w:szCs w:val="24"/>
          <w:lang w:val="en-US"/>
        </w:rPr>
        <w:t xml:space="preserve"> </w:t>
      </w:r>
      <w:r w:rsidRPr="0034426D">
        <w:rPr>
          <w:rFonts w:cs="AdvP5D8B"/>
          <w:sz w:val="24"/>
          <w:szCs w:val="24"/>
          <w:lang w:val="en-US"/>
        </w:rPr>
        <w:t>the erythrocyte; DRUG: pharmacologically diffusible active principle that is slowly released in circulation.</w:t>
      </w:r>
    </w:p>
    <w:p w14:paraId="5EBF4FB5" w14:textId="77777777" w:rsidR="008650A8" w:rsidRPr="0034426D" w:rsidRDefault="008650A8" w:rsidP="008650A8">
      <w:pPr>
        <w:pStyle w:val="Nessunaspaziatura"/>
        <w:spacing w:after="240"/>
        <w:jc w:val="both"/>
        <w:rPr>
          <w:color w:val="000000" w:themeColor="text1"/>
          <w:sz w:val="24"/>
          <w:szCs w:val="24"/>
          <w:lang w:val="en-US"/>
        </w:rPr>
      </w:pPr>
      <w:r w:rsidRPr="0034426D">
        <w:rPr>
          <w:b/>
          <w:color w:val="000000" w:themeColor="text1"/>
          <w:sz w:val="24"/>
          <w:szCs w:val="24"/>
          <w:lang w:val="en-US"/>
        </w:rPr>
        <w:t>Figure 3</w:t>
      </w:r>
      <w:r w:rsidRPr="0034426D">
        <w:rPr>
          <w:color w:val="000000" w:themeColor="text1"/>
          <w:sz w:val="24"/>
          <w:szCs w:val="24"/>
          <w:lang w:val="en-US"/>
        </w:rPr>
        <w:t xml:space="preserve">. </w:t>
      </w:r>
      <w:r w:rsidRPr="0034426D">
        <w:rPr>
          <w:b/>
          <w:color w:val="000000" w:themeColor="text1"/>
          <w:sz w:val="24"/>
          <w:szCs w:val="24"/>
          <w:lang w:val="en-US"/>
        </w:rPr>
        <w:t xml:space="preserve">Immunophilin-loaded RBCs as delivery system of the immunosuppressant agents </w:t>
      </w:r>
      <w:r w:rsidR="008E33EF" w:rsidRPr="0034426D">
        <w:rPr>
          <w:b/>
          <w:color w:val="000000" w:themeColor="text1"/>
          <w:sz w:val="24"/>
          <w:szCs w:val="24"/>
          <w:lang w:val="en-US"/>
        </w:rPr>
        <w:t>T</w:t>
      </w:r>
      <w:r w:rsidRPr="0034426D">
        <w:rPr>
          <w:b/>
          <w:color w:val="000000" w:themeColor="text1"/>
          <w:sz w:val="24"/>
          <w:szCs w:val="24"/>
          <w:lang w:val="en-US"/>
        </w:rPr>
        <w:t>acrolimus (FK506) and cyclosporine (CsA).</w:t>
      </w:r>
      <w:r w:rsidRPr="0034426D">
        <w:rPr>
          <w:color w:val="000000" w:themeColor="text1"/>
          <w:sz w:val="24"/>
          <w:szCs w:val="24"/>
          <w:lang w:val="en-US"/>
        </w:rPr>
        <w:t xml:space="preserve"> </w:t>
      </w:r>
      <w:r w:rsidR="008E33EF" w:rsidRPr="0034426D">
        <w:rPr>
          <w:color w:val="000000" w:themeColor="text1"/>
          <w:sz w:val="24"/>
          <w:szCs w:val="24"/>
          <w:lang w:val="en-US"/>
        </w:rPr>
        <w:t>The r</w:t>
      </w:r>
      <w:r w:rsidRPr="0034426D">
        <w:rPr>
          <w:color w:val="000000" w:themeColor="text1"/>
          <w:sz w:val="24"/>
          <w:szCs w:val="24"/>
          <w:lang w:val="en-US"/>
        </w:rPr>
        <w:t xml:space="preserve">ecombinant immunophilins </w:t>
      </w:r>
      <w:r w:rsidRPr="0034426D">
        <w:rPr>
          <w:sz w:val="24"/>
          <w:szCs w:val="24"/>
          <w:lang w:val="en-US"/>
        </w:rPr>
        <w:t xml:space="preserve">Cyclophilin A (CypA) or 12-kDa FK506 binding protein (FKBP12) </w:t>
      </w:r>
      <w:r w:rsidRPr="0034426D">
        <w:rPr>
          <w:color w:val="000000" w:themeColor="text1"/>
          <w:sz w:val="24"/>
          <w:szCs w:val="24"/>
          <w:lang w:val="en-US"/>
        </w:rPr>
        <w:t>can be encapsulated into RBC</w:t>
      </w:r>
      <w:r w:rsidR="008E33EF" w:rsidRPr="0034426D">
        <w:rPr>
          <w:color w:val="000000" w:themeColor="text1"/>
          <w:sz w:val="24"/>
          <w:szCs w:val="24"/>
          <w:lang w:val="en-US"/>
        </w:rPr>
        <w:t>s</w:t>
      </w:r>
      <w:r w:rsidRPr="0034426D">
        <w:rPr>
          <w:color w:val="000000" w:themeColor="text1"/>
          <w:sz w:val="24"/>
          <w:szCs w:val="24"/>
          <w:lang w:val="en-US"/>
        </w:rPr>
        <w:t xml:space="preserve"> at different concentrations. Increasing protein concentrations correspond to increasing drug-binding capacities. The bound drug is subsequently released in circulation.</w:t>
      </w:r>
    </w:p>
    <w:p w14:paraId="6C61C29F" w14:textId="77777777" w:rsidR="008650A8" w:rsidRPr="0034426D" w:rsidRDefault="008650A8" w:rsidP="008650A8">
      <w:pPr>
        <w:pStyle w:val="Nessunaspaziatura"/>
        <w:spacing w:after="240"/>
        <w:jc w:val="both"/>
        <w:rPr>
          <w:sz w:val="24"/>
          <w:szCs w:val="24"/>
          <w:lang w:val="en-US"/>
        </w:rPr>
      </w:pPr>
      <w:r w:rsidRPr="0034426D">
        <w:rPr>
          <w:b/>
          <w:sz w:val="24"/>
          <w:szCs w:val="24"/>
          <w:lang w:val="en-US"/>
        </w:rPr>
        <w:t>Figure 4.</w:t>
      </w:r>
      <w:r w:rsidRPr="0034426D">
        <w:rPr>
          <w:sz w:val="24"/>
          <w:szCs w:val="24"/>
          <w:lang w:val="en-US"/>
        </w:rPr>
        <w:t xml:space="preserve"> </w:t>
      </w:r>
      <w:r w:rsidRPr="0034426D">
        <w:rPr>
          <w:b/>
          <w:sz w:val="24"/>
          <w:szCs w:val="24"/>
          <w:lang w:val="en-US"/>
        </w:rPr>
        <w:t>Dye angiogram images of a normal human optic disk.</w:t>
      </w:r>
      <w:r w:rsidRPr="0034426D">
        <w:rPr>
          <w:sz w:val="24"/>
          <w:szCs w:val="24"/>
          <w:lang w:val="en-US"/>
        </w:rPr>
        <w:t xml:space="preserve"> </w:t>
      </w:r>
      <w:r w:rsidRPr="0034426D">
        <w:rPr>
          <w:b/>
          <w:sz w:val="24"/>
          <w:szCs w:val="24"/>
          <w:lang w:val="en-US"/>
        </w:rPr>
        <w:t>A</w:t>
      </w:r>
      <w:r w:rsidRPr="0034426D">
        <w:rPr>
          <w:sz w:val="24"/>
          <w:szCs w:val="24"/>
          <w:lang w:val="en-US"/>
        </w:rPr>
        <w:t xml:space="preserve">) Fluorescein angiogram (Magnification 10x) and </w:t>
      </w:r>
      <w:r w:rsidRPr="0034426D">
        <w:rPr>
          <w:b/>
          <w:sz w:val="24"/>
          <w:szCs w:val="24"/>
          <w:lang w:val="en-US"/>
        </w:rPr>
        <w:t>B</w:t>
      </w:r>
      <w:r w:rsidRPr="0034426D">
        <w:rPr>
          <w:sz w:val="24"/>
          <w:szCs w:val="24"/>
          <w:lang w:val="en-US"/>
        </w:rPr>
        <w:t xml:space="preserve">) ICG-loaded </w:t>
      </w:r>
      <w:r w:rsidRPr="00762504">
        <w:rPr>
          <w:sz w:val="24"/>
          <w:szCs w:val="24"/>
          <w:lang w:val="en-US"/>
        </w:rPr>
        <w:t>RBC angiogram.</w:t>
      </w:r>
      <w:r w:rsidRPr="0034426D">
        <w:rPr>
          <w:sz w:val="24"/>
          <w:szCs w:val="24"/>
          <w:lang w:val="en-US"/>
        </w:rPr>
        <w:t xml:space="preserve"> The multiple hyper-fluorescent points seen on picture B correspond to the ICG-loaded circulating red blood cells.</w:t>
      </w:r>
    </w:p>
    <w:p w14:paraId="7D742EDE" w14:textId="77777777" w:rsidR="004928B8" w:rsidRPr="0034426D" w:rsidRDefault="008650A8" w:rsidP="008650A8">
      <w:pPr>
        <w:pStyle w:val="Nessunaspaziatura"/>
        <w:spacing w:after="240"/>
        <w:jc w:val="both"/>
        <w:rPr>
          <w:rFonts w:cs="Times New Roman"/>
          <w:sz w:val="24"/>
          <w:szCs w:val="24"/>
          <w:lang w:val="en-US"/>
        </w:rPr>
      </w:pPr>
      <w:r w:rsidRPr="0034426D">
        <w:rPr>
          <w:rFonts w:cs="Times New Roman"/>
          <w:b/>
          <w:sz w:val="24"/>
          <w:szCs w:val="24"/>
          <w:lang w:val="en-US"/>
        </w:rPr>
        <w:t>Figure 5. Intravenous administration of murine Resovist®-Loaded RBCs in mice and MPI</w:t>
      </w:r>
      <w:r w:rsidRPr="0034426D">
        <w:rPr>
          <w:rFonts w:cs="Times New Roman"/>
          <w:sz w:val="24"/>
          <w:szCs w:val="24"/>
          <w:lang w:val="en-US"/>
        </w:rPr>
        <w:t xml:space="preserve"> </w:t>
      </w:r>
      <w:r w:rsidRPr="0034426D">
        <w:rPr>
          <w:rFonts w:cs="Times New Roman"/>
          <w:b/>
          <w:sz w:val="24"/>
          <w:szCs w:val="24"/>
          <w:lang w:val="en-US"/>
        </w:rPr>
        <w:t>acquisition.</w:t>
      </w:r>
      <w:r w:rsidRPr="0034426D">
        <w:rPr>
          <w:rFonts w:cs="Times New Roman"/>
          <w:sz w:val="24"/>
          <w:szCs w:val="24"/>
          <w:lang w:val="en-US"/>
        </w:rPr>
        <w:t xml:space="preserve"> After intravenous injection of Resovist®-loaded RBCs, MPI of the blood pool of living mice is feasible </w:t>
      </w:r>
      <w:r w:rsidR="008E33EF" w:rsidRPr="0034426D">
        <w:rPr>
          <w:rFonts w:cs="Times New Roman"/>
          <w:sz w:val="24"/>
          <w:szCs w:val="24"/>
          <w:lang w:val="en-US"/>
        </w:rPr>
        <w:t xml:space="preserve">up to </w:t>
      </w:r>
      <w:r w:rsidRPr="0034426D">
        <w:rPr>
          <w:rFonts w:cs="Times New Roman"/>
          <w:sz w:val="24"/>
          <w:szCs w:val="24"/>
          <w:lang w:val="en-US"/>
        </w:rPr>
        <w:t>several hours after injection with current MPI equipment</w:t>
      </w:r>
      <w:r w:rsidR="008E33EF" w:rsidRPr="0034426D">
        <w:rPr>
          <w:rFonts w:cs="Times New Roman"/>
          <w:sz w:val="24"/>
          <w:szCs w:val="24"/>
          <w:lang w:val="en-US"/>
        </w:rPr>
        <w:t>,</w:t>
      </w:r>
      <w:r w:rsidRPr="0034426D">
        <w:rPr>
          <w:rFonts w:cs="Times New Roman"/>
          <w:sz w:val="24"/>
          <w:szCs w:val="24"/>
          <w:lang w:val="en-US"/>
        </w:rPr>
        <w:t xml:space="preserve"> proving the efficacy of the RBC loading method </w:t>
      </w:r>
      <w:r w:rsidR="008E33EF" w:rsidRPr="0034426D">
        <w:rPr>
          <w:rFonts w:cs="Times New Roman"/>
          <w:sz w:val="24"/>
          <w:szCs w:val="24"/>
          <w:lang w:val="en-US"/>
        </w:rPr>
        <w:t>proposed by</w:t>
      </w:r>
      <w:r w:rsidRPr="0034426D">
        <w:rPr>
          <w:rFonts w:cs="Times New Roman"/>
          <w:sz w:val="24"/>
          <w:szCs w:val="24"/>
          <w:lang w:val="en-US"/>
        </w:rPr>
        <w:t xml:space="preserve"> Antonelli et al. [</w:t>
      </w:r>
      <w:r w:rsidR="00A03B5E" w:rsidRPr="0034426D">
        <w:rPr>
          <w:rFonts w:cs="Times New Roman"/>
          <w:sz w:val="24"/>
          <w:szCs w:val="24"/>
          <w:lang w:val="en-US"/>
        </w:rPr>
        <w:t>17</w:t>
      </w:r>
      <w:r w:rsidR="00A03B5E">
        <w:rPr>
          <w:rFonts w:cs="Times New Roman"/>
          <w:sz w:val="24"/>
          <w:szCs w:val="24"/>
          <w:lang w:val="en-US"/>
        </w:rPr>
        <w:t>7</w:t>
      </w:r>
      <w:r w:rsidRPr="0034426D">
        <w:rPr>
          <w:rFonts w:cs="Times New Roman"/>
          <w:sz w:val="24"/>
          <w:szCs w:val="24"/>
          <w:lang w:val="en-US"/>
        </w:rPr>
        <w:t>,</w:t>
      </w:r>
      <w:r w:rsidR="00A03B5E" w:rsidRPr="0034426D">
        <w:rPr>
          <w:rFonts w:cs="Times New Roman"/>
          <w:sz w:val="24"/>
          <w:szCs w:val="24"/>
          <w:lang w:val="en-US"/>
        </w:rPr>
        <w:t>17</w:t>
      </w:r>
      <w:r w:rsidR="00A03B5E">
        <w:rPr>
          <w:rFonts w:cs="Times New Roman"/>
          <w:sz w:val="24"/>
          <w:szCs w:val="24"/>
          <w:lang w:val="en-US"/>
        </w:rPr>
        <w:t>8</w:t>
      </w:r>
      <w:r w:rsidRPr="0034426D">
        <w:rPr>
          <w:rFonts w:cs="Times New Roman"/>
          <w:sz w:val="24"/>
          <w:szCs w:val="24"/>
          <w:lang w:val="en-US"/>
        </w:rPr>
        <w:t xml:space="preserve">] to increase the blood retention time of iron oxide nanoparticles in vivo. From the 3D MPI data acquired 3 h after </w:t>
      </w:r>
      <w:r w:rsidR="008E33EF" w:rsidRPr="0034426D">
        <w:rPr>
          <w:rFonts w:cs="Times New Roman"/>
          <w:sz w:val="24"/>
          <w:szCs w:val="24"/>
          <w:lang w:val="en-US"/>
        </w:rPr>
        <w:t xml:space="preserve">Resovist®-loaded RBC </w:t>
      </w:r>
      <w:r w:rsidRPr="0034426D">
        <w:rPr>
          <w:rFonts w:cs="Times New Roman"/>
          <w:sz w:val="24"/>
          <w:szCs w:val="24"/>
          <w:lang w:val="en-US"/>
        </w:rPr>
        <w:t xml:space="preserve">injection, a sagittal slice through the position of the heart has been selected. The MPI images </w:t>
      </w:r>
      <w:r w:rsidR="008E33EF" w:rsidRPr="0034426D">
        <w:rPr>
          <w:rFonts w:cs="Times New Roman"/>
          <w:sz w:val="24"/>
          <w:szCs w:val="24"/>
          <w:lang w:val="en-US"/>
        </w:rPr>
        <w:t xml:space="preserve">were </w:t>
      </w:r>
      <w:r w:rsidRPr="0034426D">
        <w:rPr>
          <w:rFonts w:cs="Times New Roman"/>
          <w:sz w:val="24"/>
          <w:szCs w:val="24"/>
          <w:lang w:val="en-US"/>
        </w:rPr>
        <w:t>interpolated to the MRI grid to be displayed as an overlay in orange color. The upper structure in the MPI image matches the heart, whereas the lower structures are found in the region of the liver and further down in the abdomen [</w:t>
      </w:r>
      <w:r w:rsidR="00503017" w:rsidRPr="0034426D">
        <w:rPr>
          <w:rFonts w:cs="Times New Roman"/>
          <w:sz w:val="24"/>
          <w:szCs w:val="24"/>
          <w:lang w:val="en-US"/>
        </w:rPr>
        <w:t>1</w:t>
      </w:r>
      <w:r w:rsidR="00503017">
        <w:rPr>
          <w:rFonts w:cs="Times New Roman"/>
          <w:sz w:val="24"/>
          <w:szCs w:val="24"/>
          <w:lang w:val="en-US"/>
        </w:rPr>
        <w:t>79</w:t>
      </w:r>
      <w:r w:rsidRPr="0034426D">
        <w:rPr>
          <w:rFonts w:cs="Times New Roman"/>
          <w:sz w:val="24"/>
          <w:szCs w:val="24"/>
          <w:lang w:val="en-US"/>
        </w:rPr>
        <w:t>].</w:t>
      </w:r>
    </w:p>
    <w:sectPr w:rsidR="004928B8" w:rsidRPr="0034426D" w:rsidSect="00C44A79">
      <w:footerReference w:type="default" r:id="rId36"/>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DC5462" w14:textId="77777777" w:rsidR="008E744F" w:rsidRDefault="008E744F" w:rsidP="000B0A0A">
      <w:pPr>
        <w:spacing w:after="0" w:line="240" w:lineRule="auto"/>
      </w:pPr>
      <w:r>
        <w:separator/>
      </w:r>
    </w:p>
  </w:endnote>
  <w:endnote w:type="continuationSeparator" w:id="0">
    <w:p w14:paraId="28C08852" w14:textId="77777777" w:rsidR="008E744F" w:rsidRDefault="008E744F" w:rsidP="000B0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dvTT5235d5a9">
    <w:panose1 w:val="020B0604020202020204"/>
    <w:charset w:val="00"/>
    <w:family w:val="roman"/>
    <w:notTrueType/>
    <w:pitch w:val="default"/>
    <w:sig w:usb0="00000003" w:usb1="00000000" w:usb2="00000000" w:usb3="00000000" w:csb0="00000001" w:csb1="00000000"/>
  </w:font>
  <w:font w:name="AdvTT5235d5a9+fb">
    <w:panose1 w:val="020B0604020202020204"/>
    <w:charset w:val="00"/>
    <w:family w:val="auto"/>
    <w:notTrueType/>
    <w:pitch w:val="default"/>
    <w:sig w:usb0="00000003" w:usb1="00000000" w:usb2="00000000" w:usb3="00000000" w:csb0="00000001" w:csb1="00000000"/>
  </w:font>
  <w:font w:name="AdvOT9b12cd41">
    <w:panose1 w:val="020B0604020202020204"/>
    <w:charset w:val="00"/>
    <w:family w:val="auto"/>
    <w:notTrueType/>
    <w:pitch w:val="default"/>
    <w:sig w:usb0="00000003" w:usb1="00000000" w:usb2="00000000" w:usb3="00000000" w:csb0="00000001" w:csb1="00000000"/>
  </w:font>
  <w:font w:name="AdvOTce3d9a73">
    <w:panose1 w:val="020B0604020202020204"/>
    <w:charset w:val="00"/>
    <w:family w:val="swiss"/>
    <w:notTrueType/>
    <w:pitch w:val="default"/>
    <w:sig w:usb0="00000003" w:usb1="00000000" w:usb2="00000000" w:usb3="00000000" w:csb0="00000001" w:csb1="00000000"/>
  </w:font>
  <w:font w:name="AdvPA183">
    <w:panose1 w:val="020B0604020202020204"/>
    <w:charset w:val="00"/>
    <w:family w:val="swiss"/>
    <w:notTrueType/>
    <w:pitch w:val="default"/>
    <w:sig w:usb0="00000003" w:usb1="00000000" w:usb2="00000000" w:usb3="00000000" w:csb0="00000001" w:csb1="00000000"/>
  </w:font>
  <w:font w:name="TimesNewRoman">
    <w:altName w:val="Times New Roman"/>
    <w:panose1 w:val="020B0604020202020204"/>
    <w:charset w:val="00"/>
    <w:family w:val="auto"/>
    <w:notTrueType/>
    <w:pitch w:val="default"/>
    <w:sig w:usb0="00000003" w:usb1="00000000" w:usb2="00000000" w:usb3="00000000" w:csb0="00000001" w:csb1="00000000"/>
  </w:font>
  <w:font w:name="AdvP5D8B">
    <w:panose1 w:val="020B0604020202020204"/>
    <w:charset w:val="00"/>
    <w:family w:val="roman"/>
    <w:notTrueType/>
    <w:pitch w:val="default"/>
    <w:sig w:usb0="00000003" w:usb1="00000000" w:usb2="00000000" w:usb3="00000000" w:csb0="00000001" w:csb1="00000000"/>
  </w:font>
  <w:font w:name="AdvP4C4E59">
    <w:panose1 w:val="020B0604020202020204"/>
    <w:charset w:val="00"/>
    <w:family w:val="swiss"/>
    <w:notTrueType/>
    <w:pitch w:val="default"/>
    <w:sig w:usb0="00000003" w:usb1="00000000" w:usb2="00000000" w:usb3="00000000" w:csb0="00000001" w:csb1="00000000"/>
  </w:font>
  <w:font w:name="AdvP92E7">
    <w:panose1 w:val="020B0604020202020204"/>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OTd369e91e">
    <w:panose1 w:val="020B0604020202020204"/>
    <w:charset w:val="00"/>
    <w:family w:val="roman"/>
    <w:notTrueType/>
    <w:pitch w:val="default"/>
    <w:sig w:usb0="00000003" w:usb1="00000000" w:usb2="00000000" w:usb3="00000000" w:csb0="00000001" w:csb1="00000000"/>
  </w:font>
  <w:font w:name="AdvOT8608a8d1">
    <w:panose1 w:val="020B0604020202020204"/>
    <w:charset w:val="00"/>
    <w:family w:val="swiss"/>
    <w:notTrueType/>
    <w:pitch w:val="default"/>
    <w:sig w:usb0="00000003" w:usb1="00000000" w:usb2="00000000" w:usb3="00000000" w:csb0="00000001" w:csb1="00000000"/>
  </w:font>
  <w:font w:name="AdvTT5843c571">
    <w:panose1 w:val="020B0604020202020204"/>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17664"/>
      <w:docPartObj>
        <w:docPartGallery w:val="Page Numbers (Bottom of Page)"/>
        <w:docPartUnique/>
      </w:docPartObj>
    </w:sdtPr>
    <w:sdtEndPr/>
    <w:sdtContent>
      <w:p w14:paraId="4A1CCA7E" w14:textId="1A10840C" w:rsidR="00C44B3D" w:rsidRDefault="00A35E8C">
        <w:pPr>
          <w:pStyle w:val="Pidipagina"/>
          <w:jc w:val="center"/>
        </w:pPr>
        <w:r>
          <w:fldChar w:fldCharType="begin"/>
        </w:r>
        <w:r>
          <w:instrText xml:space="preserve"> PAGE   \* MERGEFORMAT </w:instrText>
        </w:r>
        <w:r>
          <w:fldChar w:fldCharType="separate"/>
        </w:r>
        <w:r w:rsidR="00EE0873">
          <w:rPr>
            <w:noProof/>
          </w:rPr>
          <w:t>2</w:t>
        </w:r>
        <w:r>
          <w:rPr>
            <w:noProof/>
          </w:rPr>
          <w:fldChar w:fldCharType="end"/>
        </w:r>
      </w:p>
    </w:sdtContent>
  </w:sdt>
  <w:p w14:paraId="4D9130A5" w14:textId="77777777" w:rsidR="00C44B3D" w:rsidRDefault="00C44B3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1A1E9" w14:textId="77777777" w:rsidR="008E744F" w:rsidRDefault="008E744F" w:rsidP="000B0A0A">
      <w:pPr>
        <w:spacing w:after="0" w:line="240" w:lineRule="auto"/>
      </w:pPr>
      <w:r>
        <w:separator/>
      </w:r>
    </w:p>
  </w:footnote>
  <w:footnote w:type="continuationSeparator" w:id="0">
    <w:p w14:paraId="63A0E176" w14:textId="77777777" w:rsidR="008E744F" w:rsidRDefault="008E744F" w:rsidP="000B0A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71270"/>
    <w:multiLevelType w:val="hybridMultilevel"/>
    <w:tmpl w:val="2BF6D89C"/>
    <w:lvl w:ilvl="0" w:tplc="7C2C1ABC">
      <w:start w:val="1"/>
      <w:numFmt w:val="bullet"/>
      <w:lvlText w:val=""/>
      <w:lvlJc w:val="left"/>
      <w:pPr>
        <w:tabs>
          <w:tab w:val="num" w:pos="720"/>
        </w:tabs>
        <w:ind w:left="720" w:hanging="360"/>
      </w:pPr>
      <w:rPr>
        <w:rFonts w:ascii="Wingdings" w:hAnsi="Wingdings" w:hint="default"/>
      </w:rPr>
    </w:lvl>
    <w:lvl w:ilvl="1" w:tplc="07EE85D2" w:tentative="1">
      <w:start w:val="1"/>
      <w:numFmt w:val="bullet"/>
      <w:lvlText w:val=""/>
      <w:lvlJc w:val="left"/>
      <w:pPr>
        <w:tabs>
          <w:tab w:val="num" w:pos="1440"/>
        </w:tabs>
        <w:ind w:left="1440" w:hanging="360"/>
      </w:pPr>
      <w:rPr>
        <w:rFonts w:ascii="Wingdings" w:hAnsi="Wingdings" w:hint="default"/>
      </w:rPr>
    </w:lvl>
    <w:lvl w:ilvl="2" w:tplc="7114A11E" w:tentative="1">
      <w:start w:val="1"/>
      <w:numFmt w:val="bullet"/>
      <w:lvlText w:val=""/>
      <w:lvlJc w:val="left"/>
      <w:pPr>
        <w:tabs>
          <w:tab w:val="num" w:pos="2160"/>
        </w:tabs>
        <w:ind w:left="2160" w:hanging="360"/>
      </w:pPr>
      <w:rPr>
        <w:rFonts w:ascii="Wingdings" w:hAnsi="Wingdings" w:hint="default"/>
      </w:rPr>
    </w:lvl>
    <w:lvl w:ilvl="3" w:tplc="6598DAE2" w:tentative="1">
      <w:start w:val="1"/>
      <w:numFmt w:val="bullet"/>
      <w:lvlText w:val=""/>
      <w:lvlJc w:val="left"/>
      <w:pPr>
        <w:tabs>
          <w:tab w:val="num" w:pos="2880"/>
        </w:tabs>
        <w:ind w:left="2880" w:hanging="360"/>
      </w:pPr>
      <w:rPr>
        <w:rFonts w:ascii="Wingdings" w:hAnsi="Wingdings" w:hint="default"/>
      </w:rPr>
    </w:lvl>
    <w:lvl w:ilvl="4" w:tplc="CD640AE6" w:tentative="1">
      <w:start w:val="1"/>
      <w:numFmt w:val="bullet"/>
      <w:lvlText w:val=""/>
      <w:lvlJc w:val="left"/>
      <w:pPr>
        <w:tabs>
          <w:tab w:val="num" w:pos="3600"/>
        </w:tabs>
        <w:ind w:left="3600" w:hanging="360"/>
      </w:pPr>
      <w:rPr>
        <w:rFonts w:ascii="Wingdings" w:hAnsi="Wingdings" w:hint="default"/>
      </w:rPr>
    </w:lvl>
    <w:lvl w:ilvl="5" w:tplc="6052B25E" w:tentative="1">
      <w:start w:val="1"/>
      <w:numFmt w:val="bullet"/>
      <w:lvlText w:val=""/>
      <w:lvlJc w:val="left"/>
      <w:pPr>
        <w:tabs>
          <w:tab w:val="num" w:pos="4320"/>
        </w:tabs>
        <w:ind w:left="4320" w:hanging="360"/>
      </w:pPr>
      <w:rPr>
        <w:rFonts w:ascii="Wingdings" w:hAnsi="Wingdings" w:hint="default"/>
      </w:rPr>
    </w:lvl>
    <w:lvl w:ilvl="6" w:tplc="5C9EADA8" w:tentative="1">
      <w:start w:val="1"/>
      <w:numFmt w:val="bullet"/>
      <w:lvlText w:val=""/>
      <w:lvlJc w:val="left"/>
      <w:pPr>
        <w:tabs>
          <w:tab w:val="num" w:pos="5040"/>
        </w:tabs>
        <w:ind w:left="5040" w:hanging="360"/>
      </w:pPr>
      <w:rPr>
        <w:rFonts w:ascii="Wingdings" w:hAnsi="Wingdings" w:hint="default"/>
      </w:rPr>
    </w:lvl>
    <w:lvl w:ilvl="7" w:tplc="BAF25DAE" w:tentative="1">
      <w:start w:val="1"/>
      <w:numFmt w:val="bullet"/>
      <w:lvlText w:val=""/>
      <w:lvlJc w:val="left"/>
      <w:pPr>
        <w:tabs>
          <w:tab w:val="num" w:pos="5760"/>
        </w:tabs>
        <w:ind w:left="5760" w:hanging="360"/>
      </w:pPr>
      <w:rPr>
        <w:rFonts w:ascii="Wingdings" w:hAnsi="Wingdings" w:hint="default"/>
      </w:rPr>
    </w:lvl>
    <w:lvl w:ilvl="8" w:tplc="6276B70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07237CD"/>
    <w:multiLevelType w:val="hybridMultilevel"/>
    <w:tmpl w:val="3806AE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A211F66"/>
    <w:multiLevelType w:val="hybridMultilevel"/>
    <w:tmpl w:val="95A098E6"/>
    <w:lvl w:ilvl="0" w:tplc="3662D1A0">
      <w:start w:val="1"/>
      <w:numFmt w:val="bullet"/>
      <w:lvlText w:val=""/>
      <w:lvlJc w:val="left"/>
      <w:pPr>
        <w:tabs>
          <w:tab w:val="num" w:pos="720"/>
        </w:tabs>
        <w:ind w:left="720" w:hanging="360"/>
      </w:pPr>
      <w:rPr>
        <w:rFonts w:ascii="Wingdings" w:hAnsi="Wingdings" w:hint="default"/>
      </w:rPr>
    </w:lvl>
    <w:lvl w:ilvl="1" w:tplc="7F10EBC2" w:tentative="1">
      <w:start w:val="1"/>
      <w:numFmt w:val="bullet"/>
      <w:lvlText w:val=""/>
      <w:lvlJc w:val="left"/>
      <w:pPr>
        <w:tabs>
          <w:tab w:val="num" w:pos="1440"/>
        </w:tabs>
        <w:ind w:left="1440" w:hanging="360"/>
      </w:pPr>
      <w:rPr>
        <w:rFonts w:ascii="Wingdings" w:hAnsi="Wingdings" w:hint="default"/>
      </w:rPr>
    </w:lvl>
    <w:lvl w:ilvl="2" w:tplc="34B67178" w:tentative="1">
      <w:start w:val="1"/>
      <w:numFmt w:val="bullet"/>
      <w:lvlText w:val=""/>
      <w:lvlJc w:val="left"/>
      <w:pPr>
        <w:tabs>
          <w:tab w:val="num" w:pos="2160"/>
        </w:tabs>
        <w:ind w:left="2160" w:hanging="360"/>
      </w:pPr>
      <w:rPr>
        <w:rFonts w:ascii="Wingdings" w:hAnsi="Wingdings" w:hint="default"/>
      </w:rPr>
    </w:lvl>
    <w:lvl w:ilvl="3" w:tplc="77D80F36" w:tentative="1">
      <w:start w:val="1"/>
      <w:numFmt w:val="bullet"/>
      <w:lvlText w:val=""/>
      <w:lvlJc w:val="left"/>
      <w:pPr>
        <w:tabs>
          <w:tab w:val="num" w:pos="2880"/>
        </w:tabs>
        <w:ind w:left="2880" w:hanging="360"/>
      </w:pPr>
      <w:rPr>
        <w:rFonts w:ascii="Wingdings" w:hAnsi="Wingdings" w:hint="default"/>
      </w:rPr>
    </w:lvl>
    <w:lvl w:ilvl="4" w:tplc="F29C0988" w:tentative="1">
      <w:start w:val="1"/>
      <w:numFmt w:val="bullet"/>
      <w:lvlText w:val=""/>
      <w:lvlJc w:val="left"/>
      <w:pPr>
        <w:tabs>
          <w:tab w:val="num" w:pos="3600"/>
        </w:tabs>
        <w:ind w:left="3600" w:hanging="360"/>
      </w:pPr>
      <w:rPr>
        <w:rFonts w:ascii="Wingdings" w:hAnsi="Wingdings" w:hint="default"/>
      </w:rPr>
    </w:lvl>
    <w:lvl w:ilvl="5" w:tplc="EC400C9C" w:tentative="1">
      <w:start w:val="1"/>
      <w:numFmt w:val="bullet"/>
      <w:lvlText w:val=""/>
      <w:lvlJc w:val="left"/>
      <w:pPr>
        <w:tabs>
          <w:tab w:val="num" w:pos="4320"/>
        </w:tabs>
        <w:ind w:left="4320" w:hanging="360"/>
      </w:pPr>
      <w:rPr>
        <w:rFonts w:ascii="Wingdings" w:hAnsi="Wingdings" w:hint="default"/>
      </w:rPr>
    </w:lvl>
    <w:lvl w:ilvl="6" w:tplc="0838C07A" w:tentative="1">
      <w:start w:val="1"/>
      <w:numFmt w:val="bullet"/>
      <w:lvlText w:val=""/>
      <w:lvlJc w:val="left"/>
      <w:pPr>
        <w:tabs>
          <w:tab w:val="num" w:pos="5040"/>
        </w:tabs>
        <w:ind w:left="5040" w:hanging="360"/>
      </w:pPr>
      <w:rPr>
        <w:rFonts w:ascii="Wingdings" w:hAnsi="Wingdings" w:hint="default"/>
      </w:rPr>
    </w:lvl>
    <w:lvl w:ilvl="7" w:tplc="A6C45570" w:tentative="1">
      <w:start w:val="1"/>
      <w:numFmt w:val="bullet"/>
      <w:lvlText w:val=""/>
      <w:lvlJc w:val="left"/>
      <w:pPr>
        <w:tabs>
          <w:tab w:val="num" w:pos="5760"/>
        </w:tabs>
        <w:ind w:left="5760" w:hanging="360"/>
      </w:pPr>
      <w:rPr>
        <w:rFonts w:ascii="Wingdings" w:hAnsi="Wingdings" w:hint="default"/>
      </w:rPr>
    </w:lvl>
    <w:lvl w:ilvl="8" w:tplc="FE9E87C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9CE7D4B"/>
    <w:multiLevelType w:val="hybridMultilevel"/>
    <w:tmpl w:val="C8CE1F8C"/>
    <w:lvl w:ilvl="0" w:tplc="8238FD0A">
      <w:start w:val="1"/>
      <w:numFmt w:val="decimal"/>
      <w:lvlText w:val="%1)"/>
      <w:lvlJc w:val="left"/>
      <w:pPr>
        <w:ind w:left="360" w:hanging="360"/>
      </w:pPr>
      <w:rPr>
        <w:rFonts w:hint="default"/>
        <w:lang w:val="it-I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5"/>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BC5"/>
    <w:rsid w:val="0000604F"/>
    <w:rsid w:val="00012E92"/>
    <w:rsid w:val="00015121"/>
    <w:rsid w:val="00024ED7"/>
    <w:rsid w:val="00036F71"/>
    <w:rsid w:val="00040882"/>
    <w:rsid w:val="000428FC"/>
    <w:rsid w:val="00043F7A"/>
    <w:rsid w:val="0004674F"/>
    <w:rsid w:val="00047FDB"/>
    <w:rsid w:val="00054C6C"/>
    <w:rsid w:val="00062014"/>
    <w:rsid w:val="00067530"/>
    <w:rsid w:val="00072E14"/>
    <w:rsid w:val="00073388"/>
    <w:rsid w:val="00073576"/>
    <w:rsid w:val="000859C8"/>
    <w:rsid w:val="0009436F"/>
    <w:rsid w:val="00095B63"/>
    <w:rsid w:val="000A3C7A"/>
    <w:rsid w:val="000A4D2B"/>
    <w:rsid w:val="000B0A0A"/>
    <w:rsid w:val="000B79D6"/>
    <w:rsid w:val="000C24CE"/>
    <w:rsid w:val="000C3A27"/>
    <w:rsid w:val="000C3F25"/>
    <w:rsid w:val="000C72B0"/>
    <w:rsid w:val="000D021A"/>
    <w:rsid w:val="000D6A5F"/>
    <w:rsid w:val="000E5E87"/>
    <w:rsid w:val="000E656E"/>
    <w:rsid w:val="000F0342"/>
    <w:rsid w:val="000F37DF"/>
    <w:rsid w:val="000F6CFA"/>
    <w:rsid w:val="00100FB3"/>
    <w:rsid w:val="00101CFB"/>
    <w:rsid w:val="00105B1D"/>
    <w:rsid w:val="00111453"/>
    <w:rsid w:val="00113678"/>
    <w:rsid w:val="00115DF4"/>
    <w:rsid w:val="001167E1"/>
    <w:rsid w:val="00117529"/>
    <w:rsid w:val="00123B13"/>
    <w:rsid w:val="001565D8"/>
    <w:rsid w:val="00161FFA"/>
    <w:rsid w:val="00170665"/>
    <w:rsid w:val="0017366D"/>
    <w:rsid w:val="001808EA"/>
    <w:rsid w:val="00180EB4"/>
    <w:rsid w:val="00184173"/>
    <w:rsid w:val="001903BF"/>
    <w:rsid w:val="001946C4"/>
    <w:rsid w:val="00194A8F"/>
    <w:rsid w:val="001A0290"/>
    <w:rsid w:val="001A04AC"/>
    <w:rsid w:val="001A4BD8"/>
    <w:rsid w:val="001B7084"/>
    <w:rsid w:val="001C5141"/>
    <w:rsid w:val="001C54AA"/>
    <w:rsid w:val="001D6FDF"/>
    <w:rsid w:val="001E49D2"/>
    <w:rsid w:val="001F102F"/>
    <w:rsid w:val="001F13E6"/>
    <w:rsid w:val="002122CF"/>
    <w:rsid w:val="00213FDF"/>
    <w:rsid w:val="00221C44"/>
    <w:rsid w:val="00226384"/>
    <w:rsid w:val="002266A3"/>
    <w:rsid w:val="002308A4"/>
    <w:rsid w:val="0023694A"/>
    <w:rsid w:val="00242F0E"/>
    <w:rsid w:val="00247C0E"/>
    <w:rsid w:val="00254F47"/>
    <w:rsid w:val="00255B52"/>
    <w:rsid w:val="00260F6B"/>
    <w:rsid w:val="00264525"/>
    <w:rsid w:val="0027436A"/>
    <w:rsid w:val="00275BC5"/>
    <w:rsid w:val="002864A3"/>
    <w:rsid w:val="00286B68"/>
    <w:rsid w:val="002871DB"/>
    <w:rsid w:val="002944A9"/>
    <w:rsid w:val="002977CC"/>
    <w:rsid w:val="002B2E2E"/>
    <w:rsid w:val="002D0483"/>
    <w:rsid w:val="002D309C"/>
    <w:rsid w:val="002D569B"/>
    <w:rsid w:val="002D5E97"/>
    <w:rsid w:val="002E4BFB"/>
    <w:rsid w:val="002F1430"/>
    <w:rsid w:val="002F1482"/>
    <w:rsid w:val="002F4765"/>
    <w:rsid w:val="002F7C87"/>
    <w:rsid w:val="003039D8"/>
    <w:rsid w:val="00305EF7"/>
    <w:rsid w:val="00311347"/>
    <w:rsid w:val="00312A9D"/>
    <w:rsid w:val="003223E6"/>
    <w:rsid w:val="003271FA"/>
    <w:rsid w:val="003369FB"/>
    <w:rsid w:val="00336AA9"/>
    <w:rsid w:val="003403D0"/>
    <w:rsid w:val="00341D07"/>
    <w:rsid w:val="00342500"/>
    <w:rsid w:val="0034426D"/>
    <w:rsid w:val="00345608"/>
    <w:rsid w:val="00345CF1"/>
    <w:rsid w:val="00355F12"/>
    <w:rsid w:val="00356B76"/>
    <w:rsid w:val="00365472"/>
    <w:rsid w:val="00367303"/>
    <w:rsid w:val="00367B32"/>
    <w:rsid w:val="003706A9"/>
    <w:rsid w:val="003810E1"/>
    <w:rsid w:val="00385FE3"/>
    <w:rsid w:val="00391FA0"/>
    <w:rsid w:val="00396E07"/>
    <w:rsid w:val="003B1021"/>
    <w:rsid w:val="003C1E7D"/>
    <w:rsid w:val="003E3E4C"/>
    <w:rsid w:val="003E5DC9"/>
    <w:rsid w:val="003F501A"/>
    <w:rsid w:val="004021AD"/>
    <w:rsid w:val="00403539"/>
    <w:rsid w:val="0040464E"/>
    <w:rsid w:val="00405325"/>
    <w:rsid w:val="00406354"/>
    <w:rsid w:val="00407873"/>
    <w:rsid w:val="00411159"/>
    <w:rsid w:val="004123ED"/>
    <w:rsid w:val="0041527C"/>
    <w:rsid w:val="00423DCB"/>
    <w:rsid w:val="0042433E"/>
    <w:rsid w:val="00435C84"/>
    <w:rsid w:val="004363D7"/>
    <w:rsid w:val="004370D7"/>
    <w:rsid w:val="00441323"/>
    <w:rsid w:val="00443806"/>
    <w:rsid w:val="00453456"/>
    <w:rsid w:val="004650B2"/>
    <w:rsid w:val="0046585E"/>
    <w:rsid w:val="0047394A"/>
    <w:rsid w:val="004751CD"/>
    <w:rsid w:val="004755C1"/>
    <w:rsid w:val="00483B96"/>
    <w:rsid w:val="004873D8"/>
    <w:rsid w:val="00487DB9"/>
    <w:rsid w:val="004928B8"/>
    <w:rsid w:val="0049292C"/>
    <w:rsid w:val="00492D3D"/>
    <w:rsid w:val="004A076E"/>
    <w:rsid w:val="004A0DED"/>
    <w:rsid w:val="004A775E"/>
    <w:rsid w:val="004B5FC9"/>
    <w:rsid w:val="004C733F"/>
    <w:rsid w:val="004C759F"/>
    <w:rsid w:val="004D2BC0"/>
    <w:rsid w:val="004D4614"/>
    <w:rsid w:val="004D65E6"/>
    <w:rsid w:val="004E14A3"/>
    <w:rsid w:val="004E3886"/>
    <w:rsid w:val="00502A6D"/>
    <w:rsid w:val="00503017"/>
    <w:rsid w:val="00506579"/>
    <w:rsid w:val="00512FFF"/>
    <w:rsid w:val="0051728E"/>
    <w:rsid w:val="005177DF"/>
    <w:rsid w:val="00524CCA"/>
    <w:rsid w:val="0054217E"/>
    <w:rsid w:val="00544030"/>
    <w:rsid w:val="00545971"/>
    <w:rsid w:val="00551660"/>
    <w:rsid w:val="0055275F"/>
    <w:rsid w:val="00554226"/>
    <w:rsid w:val="005570FA"/>
    <w:rsid w:val="00571253"/>
    <w:rsid w:val="00572626"/>
    <w:rsid w:val="00574E0F"/>
    <w:rsid w:val="00584080"/>
    <w:rsid w:val="00594614"/>
    <w:rsid w:val="00595BCC"/>
    <w:rsid w:val="005A0E3D"/>
    <w:rsid w:val="005A1066"/>
    <w:rsid w:val="005A1343"/>
    <w:rsid w:val="005B2372"/>
    <w:rsid w:val="005C333F"/>
    <w:rsid w:val="005C6447"/>
    <w:rsid w:val="005C6D47"/>
    <w:rsid w:val="005E151F"/>
    <w:rsid w:val="005E71E2"/>
    <w:rsid w:val="005F0B4C"/>
    <w:rsid w:val="005F2EA2"/>
    <w:rsid w:val="005F6126"/>
    <w:rsid w:val="0060607A"/>
    <w:rsid w:val="00607FD7"/>
    <w:rsid w:val="006162B5"/>
    <w:rsid w:val="00627AA9"/>
    <w:rsid w:val="006439F1"/>
    <w:rsid w:val="006508DE"/>
    <w:rsid w:val="00653470"/>
    <w:rsid w:val="006550B0"/>
    <w:rsid w:val="00655605"/>
    <w:rsid w:val="00655FC8"/>
    <w:rsid w:val="0065600A"/>
    <w:rsid w:val="00665005"/>
    <w:rsid w:val="006653CA"/>
    <w:rsid w:val="00666AA4"/>
    <w:rsid w:val="00671796"/>
    <w:rsid w:val="0067232C"/>
    <w:rsid w:val="00673B34"/>
    <w:rsid w:val="00675E17"/>
    <w:rsid w:val="00685782"/>
    <w:rsid w:val="00691A47"/>
    <w:rsid w:val="006927AF"/>
    <w:rsid w:val="006946FB"/>
    <w:rsid w:val="00695664"/>
    <w:rsid w:val="006A0D4C"/>
    <w:rsid w:val="006B3DFE"/>
    <w:rsid w:val="006B64EE"/>
    <w:rsid w:val="006B7A66"/>
    <w:rsid w:val="006C2A59"/>
    <w:rsid w:val="006C5DA0"/>
    <w:rsid w:val="006D3FDF"/>
    <w:rsid w:val="006E0167"/>
    <w:rsid w:val="006E0CFE"/>
    <w:rsid w:val="006E619A"/>
    <w:rsid w:val="006F329F"/>
    <w:rsid w:val="00706BC4"/>
    <w:rsid w:val="007106A3"/>
    <w:rsid w:val="00713863"/>
    <w:rsid w:val="00714291"/>
    <w:rsid w:val="0071451E"/>
    <w:rsid w:val="00745007"/>
    <w:rsid w:val="00745127"/>
    <w:rsid w:val="007463C9"/>
    <w:rsid w:val="00746F4E"/>
    <w:rsid w:val="00752962"/>
    <w:rsid w:val="00760857"/>
    <w:rsid w:val="00762504"/>
    <w:rsid w:val="007645BF"/>
    <w:rsid w:val="007824D5"/>
    <w:rsid w:val="00791D01"/>
    <w:rsid w:val="007955E6"/>
    <w:rsid w:val="00797D44"/>
    <w:rsid w:val="007A040C"/>
    <w:rsid w:val="007A20E2"/>
    <w:rsid w:val="007A6FC4"/>
    <w:rsid w:val="007B0925"/>
    <w:rsid w:val="007B6310"/>
    <w:rsid w:val="007B65F1"/>
    <w:rsid w:val="007C3C13"/>
    <w:rsid w:val="007C4049"/>
    <w:rsid w:val="007C488E"/>
    <w:rsid w:val="007C6A71"/>
    <w:rsid w:val="007D0362"/>
    <w:rsid w:val="007D04CD"/>
    <w:rsid w:val="007D480C"/>
    <w:rsid w:val="007D7B2C"/>
    <w:rsid w:val="007E3305"/>
    <w:rsid w:val="007E72DD"/>
    <w:rsid w:val="007F729A"/>
    <w:rsid w:val="008011AF"/>
    <w:rsid w:val="00812BA5"/>
    <w:rsid w:val="008138B8"/>
    <w:rsid w:val="008170DB"/>
    <w:rsid w:val="008205CE"/>
    <w:rsid w:val="00826469"/>
    <w:rsid w:val="00831205"/>
    <w:rsid w:val="00835AE8"/>
    <w:rsid w:val="00843888"/>
    <w:rsid w:val="00857047"/>
    <w:rsid w:val="0085796F"/>
    <w:rsid w:val="00862516"/>
    <w:rsid w:val="00864A12"/>
    <w:rsid w:val="008650A8"/>
    <w:rsid w:val="008670D6"/>
    <w:rsid w:val="00873167"/>
    <w:rsid w:val="00876218"/>
    <w:rsid w:val="008944DD"/>
    <w:rsid w:val="008B25E0"/>
    <w:rsid w:val="008B6E05"/>
    <w:rsid w:val="008D12F0"/>
    <w:rsid w:val="008D28A6"/>
    <w:rsid w:val="008D6DF9"/>
    <w:rsid w:val="008E1DE7"/>
    <w:rsid w:val="008E33EF"/>
    <w:rsid w:val="008E53B1"/>
    <w:rsid w:val="008E744F"/>
    <w:rsid w:val="008F131C"/>
    <w:rsid w:val="00901E78"/>
    <w:rsid w:val="00905AA1"/>
    <w:rsid w:val="009078C0"/>
    <w:rsid w:val="00910CE0"/>
    <w:rsid w:val="009126C9"/>
    <w:rsid w:val="0092066A"/>
    <w:rsid w:val="009226F8"/>
    <w:rsid w:val="00922DEF"/>
    <w:rsid w:val="00930543"/>
    <w:rsid w:val="0093191D"/>
    <w:rsid w:val="009343AB"/>
    <w:rsid w:val="00947B2A"/>
    <w:rsid w:val="00954F83"/>
    <w:rsid w:val="00957699"/>
    <w:rsid w:val="00962939"/>
    <w:rsid w:val="0097603E"/>
    <w:rsid w:val="00977F27"/>
    <w:rsid w:val="00984C21"/>
    <w:rsid w:val="0099007E"/>
    <w:rsid w:val="009936A0"/>
    <w:rsid w:val="009A4E4B"/>
    <w:rsid w:val="009A52AF"/>
    <w:rsid w:val="009A57AE"/>
    <w:rsid w:val="009A615B"/>
    <w:rsid w:val="009B5D3A"/>
    <w:rsid w:val="009C4240"/>
    <w:rsid w:val="009F155A"/>
    <w:rsid w:val="009F248F"/>
    <w:rsid w:val="00A018AD"/>
    <w:rsid w:val="00A03B5E"/>
    <w:rsid w:val="00A100BA"/>
    <w:rsid w:val="00A130AA"/>
    <w:rsid w:val="00A13C3D"/>
    <w:rsid w:val="00A268B5"/>
    <w:rsid w:val="00A313BB"/>
    <w:rsid w:val="00A35E8C"/>
    <w:rsid w:val="00A4145A"/>
    <w:rsid w:val="00A45CCD"/>
    <w:rsid w:val="00A461B8"/>
    <w:rsid w:val="00A50516"/>
    <w:rsid w:val="00A6148D"/>
    <w:rsid w:val="00A62874"/>
    <w:rsid w:val="00A66944"/>
    <w:rsid w:val="00A75AD9"/>
    <w:rsid w:val="00A82199"/>
    <w:rsid w:val="00AA26F3"/>
    <w:rsid w:val="00AB07D9"/>
    <w:rsid w:val="00AB3438"/>
    <w:rsid w:val="00AC149A"/>
    <w:rsid w:val="00AC1A41"/>
    <w:rsid w:val="00AD1B7B"/>
    <w:rsid w:val="00AD6A6A"/>
    <w:rsid w:val="00AE0FF4"/>
    <w:rsid w:val="00AE5757"/>
    <w:rsid w:val="00AE6C6C"/>
    <w:rsid w:val="00AF0B9F"/>
    <w:rsid w:val="00AF319A"/>
    <w:rsid w:val="00B04DB1"/>
    <w:rsid w:val="00B05656"/>
    <w:rsid w:val="00B13B99"/>
    <w:rsid w:val="00B1428E"/>
    <w:rsid w:val="00B16260"/>
    <w:rsid w:val="00B23438"/>
    <w:rsid w:val="00B2589E"/>
    <w:rsid w:val="00B306E2"/>
    <w:rsid w:val="00B333E7"/>
    <w:rsid w:val="00B41394"/>
    <w:rsid w:val="00B52026"/>
    <w:rsid w:val="00B538F0"/>
    <w:rsid w:val="00B5607F"/>
    <w:rsid w:val="00B56F03"/>
    <w:rsid w:val="00B64D58"/>
    <w:rsid w:val="00B654E7"/>
    <w:rsid w:val="00B731FA"/>
    <w:rsid w:val="00B8268E"/>
    <w:rsid w:val="00B82C5E"/>
    <w:rsid w:val="00B832E2"/>
    <w:rsid w:val="00B83C13"/>
    <w:rsid w:val="00B86C53"/>
    <w:rsid w:val="00BB0007"/>
    <w:rsid w:val="00BB7EE2"/>
    <w:rsid w:val="00BC392F"/>
    <w:rsid w:val="00BC47D7"/>
    <w:rsid w:val="00BC4CBF"/>
    <w:rsid w:val="00BC5568"/>
    <w:rsid w:val="00BD1473"/>
    <w:rsid w:val="00BE1C04"/>
    <w:rsid w:val="00BE3CF1"/>
    <w:rsid w:val="00BF20B6"/>
    <w:rsid w:val="00BF3F0C"/>
    <w:rsid w:val="00BF7F32"/>
    <w:rsid w:val="00C00AFE"/>
    <w:rsid w:val="00C057E1"/>
    <w:rsid w:val="00C07BA3"/>
    <w:rsid w:val="00C12BF6"/>
    <w:rsid w:val="00C12E0D"/>
    <w:rsid w:val="00C24626"/>
    <w:rsid w:val="00C25D42"/>
    <w:rsid w:val="00C331B5"/>
    <w:rsid w:val="00C36FFA"/>
    <w:rsid w:val="00C43BB8"/>
    <w:rsid w:val="00C4458E"/>
    <w:rsid w:val="00C44A79"/>
    <w:rsid w:val="00C44B3D"/>
    <w:rsid w:val="00C60335"/>
    <w:rsid w:val="00C61318"/>
    <w:rsid w:val="00C63671"/>
    <w:rsid w:val="00C637A3"/>
    <w:rsid w:val="00C71451"/>
    <w:rsid w:val="00C76168"/>
    <w:rsid w:val="00C77745"/>
    <w:rsid w:val="00C87E40"/>
    <w:rsid w:val="00C91F52"/>
    <w:rsid w:val="00C96E83"/>
    <w:rsid w:val="00CA0686"/>
    <w:rsid w:val="00CA249E"/>
    <w:rsid w:val="00CA3374"/>
    <w:rsid w:val="00CA6EE7"/>
    <w:rsid w:val="00CB41F1"/>
    <w:rsid w:val="00CB59D2"/>
    <w:rsid w:val="00CB7388"/>
    <w:rsid w:val="00CB7D9A"/>
    <w:rsid w:val="00CB7EF6"/>
    <w:rsid w:val="00CC456F"/>
    <w:rsid w:val="00CC532E"/>
    <w:rsid w:val="00CE1DF7"/>
    <w:rsid w:val="00CE28CA"/>
    <w:rsid w:val="00CE4121"/>
    <w:rsid w:val="00CF18C6"/>
    <w:rsid w:val="00CF6327"/>
    <w:rsid w:val="00D11CBB"/>
    <w:rsid w:val="00D22464"/>
    <w:rsid w:val="00D2271F"/>
    <w:rsid w:val="00D26ED9"/>
    <w:rsid w:val="00D30846"/>
    <w:rsid w:val="00D3521A"/>
    <w:rsid w:val="00D35C31"/>
    <w:rsid w:val="00D3732F"/>
    <w:rsid w:val="00D4213C"/>
    <w:rsid w:val="00D45515"/>
    <w:rsid w:val="00D474FF"/>
    <w:rsid w:val="00D64CB3"/>
    <w:rsid w:val="00D65C71"/>
    <w:rsid w:val="00D76D6C"/>
    <w:rsid w:val="00D90753"/>
    <w:rsid w:val="00D90774"/>
    <w:rsid w:val="00D9094A"/>
    <w:rsid w:val="00D94BBC"/>
    <w:rsid w:val="00D979D6"/>
    <w:rsid w:val="00D97E37"/>
    <w:rsid w:val="00DA06A8"/>
    <w:rsid w:val="00DA1C92"/>
    <w:rsid w:val="00DA1FF4"/>
    <w:rsid w:val="00DA3248"/>
    <w:rsid w:val="00DA33DE"/>
    <w:rsid w:val="00DB399E"/>
    <w:rsid w:val="00DD021E"/>
    <w:rsid w:val="00DD3290"/>
    <w:rsid w:val="00DD778A"/>
    <w:rsid w:val="00DE775B"/>
    <w:rsid w:val="00E07FBA"/>
    <w:rsid w:val="00E242B5"/>
    <w:rsid w:val="00E259B3"/>
    <w:rsid w:val="00E31161"/>
    <w:rsid w:val="00E35491"/>
    <w:rsid w:val="00E450F8"/>
    <w:rsid w:val="00E6398B"/>
    <w:rsid w:val="00E6706B"/>
    <w:rsid w:val="00E74CE9"/>
    <w:rsid w:val="00E75B6A"/>
    <w:rsid w:val="00E91717"/>
    <w:rsid w:val="00E96335"/>
    <w:rsid w:val="00E97EFF"/>
    <w:rsid w:val="00EA3522"/>
    <w:rsid w:val="00EA401A"/>
    <w:rsid w:val="00EB0A32"/>
    <w:rsid w:val="00EB51D0"/>
    <w:rsid w:val="00EC33E1"/>
    <w:rsid w:val="00ED61C7"/>
    <w:rsid w:val="00EE07F7"/>
    <w:rsid w:val="00EE0873"/>
    <w:rsid w:val="00EE540C"/>
    <w:rsid w:val="00EE75F6"/>
    <w:rsid w:val="00EF48EB"/>
    <w:rsid w:val="00EF7238"/>
    <w:rsid w:val="00F02564"/>
    <w:rsid w:val="00F043CF"/>
    <w:rsid w:val="00F04F0C"/>
    <w:rsid w:val="00F15AB6"/>
    <w:rsid w:val="00F23B1F"/>
    <w:rsid w:val="00F24761"/>
    <w:rsid w:val="00F315EF"/>
    <w:rsid w:val="00F3782D"/>
    <w:rsid w:val="00F37EBE"/>
    <w:rsid w:val="00F4070A"/>
    <w:rsid w:val="00F41EA2"/>
    <w:rsid w:val="00F46887"/>
    <w:rsid w:val="00F653E3"/>
    <w:rsid w:val="00F72457"/>
    <w:rsid w:val="00F73E42"/>
    <w:rsid w:val="00F757CE"/>
    <w:rsid w:val="00F75F1D"/>
    <w:rsid w:val="00F77AD6"/>
    <w:rsid w:val="00F81DD8"/>
    <w:rsid w:val="00F86ED5"/>
    <w:rsid w:val="00F975B5"/>
    <w:rsid w:val="00FA2B05"/>
    <w:rsid w:val="00FA697A"/>
    <w:rsid w:val="00FB09BC"/>
    <w:rsid w:val="00FC31EA"/>
    <w:rsid w:val="00FD2C5C"/>
    <w:rsid w:val="00FE4C66"/>
    <w:rsid w:val="00FE68C0"/>
    <w:rsid w:val="00FF76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D56C0"/>
  <w15:docId w15:val="{C97E0B20-CEE5-4A65-9AAE-21CF8370E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487DB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pple-converted-space">
    <w:name w:val="apple-converted-space"/>
    <w:basedOn w:val="Carpredefinitoparagrafo"/>
    <w:rsid w:val="00275BC5"/>
  </w:style>
  <w:style w:type="character" w:customStyle="1" w:styleId="highlight">
    <w:name w:val="highlight"/>
    <w:basedOn w:val="Carpredefinitoparagrafo"/>
    <w:rsid w:val="00275BC5"/>
  </w:style>
  <w:style w:type="paragraph" w:styleId="Nessunaspaziatura">
    <w:name w:val="No Spacing"/>
    <w:uiPriority w:val="1"/>
    <w:qFormat/>
    <w:rsid w:val="00275BC5"/>
    <w:pPr>
      <w:spacing w:after="0" w:line="240" w:lineRule="auto"/>
    </w:pPr>
  </w:style>
  <w:style w:type="paragraph" w:styleId="Testofumetto">
    <w:name w:val="Balloon Text"/>
    <w:basedOn w:val="Normale"/>
    <w:link w:val="TestofumettoCarattere"/>
    <w:uiPriority w:val="99"/>
    <w:semiHidden/>
    <w:unhideWhenUsed/>
    <w:rsid w:val="00275BC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75BC5"/>
    <w:rPr>
      <w:rFonts w:ascii="Tahoma" w:hAnsi="Tahoma" w:cs="Tahoma"/>
      <w:sz w:val="16"/>
      <w:szCs w:val="16"/>
    </w:rPr>
  </w:style>
  <w:style w:type="character" w:styleId="Collegamentoipertestuale">
    <w:name w:val="Hyperlink"/>
    <w:basedOn w:val="Carpredefinitoparagrafo"/>
    <w:uiPriority w:val="99"/>
    <w:unhideWhenUsed/>
    <w:rsid w:val="00487DB9"/>
    <w:rPr>
      <w:color w:val="0000FF"/>
      <w:u w:val="single"/>
    </w:rPr>
  </w:style>
  <w:style w:type="character" w:customStyle="1" w:styleId="Titolo1Carattere">
    <w:name w:val="Titolo 1 Carattere"/>
    <w:basedOn w:val="Carpredefinitoparagrafo"/>
    <w:link w:val="Titolo1"/>
    <w:uiPriority w:val="9"/>
    <w:rsid w:val="00487DB9"/>
    <w:rPr>
      <w:rFonts w:ascii="Times New Roman" w:eastAsia="Times New Roman" w:hAnsi="Times New Roman" w:cs="Times New Roman"/>
      <w:b/>
      <w:bCs/>
      <w:kern w:val="36"/>
      <w:sz w:val="48"/>
      <w:szCs w:val="48"/>
      <w:lang w:eastAsia="it-IT"/>
    </w:rPr>
  </w:style>
  <w:style w:type="paragraph" w:customStyle="1" w:styleId="Default">
    <w:name w:val="Default"/>
    <w:rsid w:val="00487DB9"/>
    <w:pPr>
      <w:autoSpaceDE w:val="0"/>
      <w:autoSpaceDN w:val="0"/>
      <w:adjustRightInd w:val="0"/>
      <w:spacing w:after="0" w:line="240" w:lineRule="auto"/>
    </w:pPr>
    <w:rPr>
      <w:rFonts w:ascii="Calibri" w:hAnsi="Calibri" w:cs="Calibri"/>
      <w:color w:val="000000"/>
      <w:sz w:val="24"/>
      <w:szCs w:val="24"/>
    </w:rPr>
  </w:style>
  <w:style w:type="paragraph" w:styleId="NormaleWeb">
    <w:name w:val="Normal (Web)"/>
    <w:basedOn w:val="Normale"/>
    <w:uiPriority w:val="99"/>
    <w:unhideWhenUsed/>
    <w:rsid w:val="00D94BBC"/>
    <w:pPr>
      <w:spacing w:before="100" w:beforeAutospacing="1" w:after="100" w:afterAutospacing="1" w:line="240" w:lineRule="auto"/>
    </w:pPr>
    <w:rPr>
      <w:rFonts w:ascii="Times New Roman" w:hAnsi="Times New Roman" w:cs="Times New Roman"/>
      <w:sz w:val="24"/>
      <w:szCs w:val="24"/>
    </w:rPr>
  </w:style>
  <w:style w:type="paragraph" w:styleId="Paragrafoelenco">
    <w:name w:val="List Paragraph"/>
    <w:basedOn w:val="Normale"/>
    <w:uiPriority w:val="34"/>
    <w:qFormat/>
    <w:rsid w:val="00170665"/>
    <w:pPr>
      <w:spacing w:after="0" w:line="240" w:lineRule="auto"/>
      <w:ind w:left="720"/>
      <w:contextualSpacing/>
    </w:pPr>
    <w:rPr>
      <w:rFonts w:ascii="Times New Roman" w:hAnsi="Times New Roman" w:cs="Times New Roman"/>
      <w:sz w:val="24"/>
      <w:szCs w:val="24"/>
    </w:rPr>
  </w:style>
  <w:style w:type="character" w:customStyle="1" w:styleId="hitinf">
    <w:name w:val="hit_inf"/>
    <w:basedOn w:val="Carpredefinitoparagrafo"/>
    <w:rsid w:val="00391FA0"/>
  </w:style>
  <w:style w:type="character" w:customStyle="1" w:styleId="hitsyn">
    <w:name w:val="hit_syn"/>
    <w:basedOn w:val="Carpredefinitoparagrafo"/>
    <w:rsid w:val="007645BF"/>
  </w:style>
  <w:style w:type="paragraph" w:customStyle="1" w:styleId="desc">
    <w:name w:val="desc"/>
    <w:basedOn w:val="Normale"/>
    <w:rsid w:val="00BF3F0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e"/>
    <w:rsid w:val="00BF3F0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Carpredefinitoparagrafo"/>
    <w:rsid w:val="00BF3F0C"/>
  </w:style>
  <w:style w:type="character" w:styleId="Rimandocommento">
    <w:name w:val="annotation reference"/>
    <w:basedOn w:val="Carpredefinitoparagrafo"/>
    <w:uiPriority w:val="99"/>
    <w:semiHidden/>
    <w:unhideWhenUsed/>
    <w:rsid w:val="00A45CCD"/>
    <w:rPr>
      <w:sz w:val="16"/>
      <w:szCs w:val="16"/>
    </w:rPr>
  </w:style>
  <w:style w:type="paragraph" w:styleId="Testocommento">
    <w:name w:val="annotation text"/>
    <w:basedOn w:val="Normale"/>
    <w:link w:val="TestocommentoCarattere"/>
    <w:uiPriority w:val="99"/>
    <w:semiHidden/>
    <w:unhideWhenUsed/>
    <w:rsid w:val="00A45CC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45CCD"/>
    <w:rPr>
      <w:sz w:val="20"/>
      <w:szCs w:val="20"/>
    </w:rPr>
  </w:style>
  <w:style w:type="paragraph" w:styleId="Soggettocommento">
    <w:name w:val="annotation subject"/>
    <w:basedOn w:val="Testocommento"/>
    <w:next w:val="Testocommento"/>
    <w:link w:val="SoggettocommentoCarattere"/>
    <w:uiPriority w:val="99"/>
    <w:semiHidden/>
    <w:unhideWhenUsed/>
    <w:rsid w:val="00A45CCD"/>
    <w:rPr>
      <w:b/>
      <w:bCs/>
    </w:rPr>
  </w:style>
  <w:style w:type="character" w:customStyle="1" w:styleId="SoggettocommentoCarattere">
    <w:name w:val="Soggetto commento Carattere"/>
    <w:basedOn w:val="TestocommentoCarattere"/>
    <w:link w:val="Soggettocommento"/>
    <w:uiPriority w:val="99"/>
    <w:semiHidden/>
    <w:rsid w:val="00A45CCD"/>
    <w:rPr>
      <w:b/>
      <w:bCs/>
      <w:sz w:val="20"/>
      <w:szCs w:val="20"/>
    </w:rPr>
  </w:style>
  <w:style w:type="paragraph" w:styleId="Revisione">
    <w:name w:val="Revision"/>
    <w:hidden/>
    <w:uiPriority w:val="99"/>
    <w:semiHidden/>
    <w:rsid w:val="008E1DE7"/>
    <w:pPr>
      <w:spacing w:after="0" w:line="240" w:lineRule="auto"/>
    </w:pPr>
  </w:style>
  <w:style w:type="paragraph" w:styleId="PreformattatoHTML">
    <w:name w:val="HTML Preformatted"/>
    <w:basedOn w:val="Normale"/>
    <w:link w:val="PreformattatoHTMLCarattere"/>
    <w:uiPriority w:val="99"/>
    <w:unhideWhenUsed/>
    <w:rsid w:val="006E0C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eformattatoHTMLCarattere">
    <w:name w:val="Preformattato HTML Carattere"/>
    <w:basedOn w:val="Carpredefinitoparagrafo"/>
    <w:link w:val="PreformattatoHTML"/>
    <w:uiPriority w:val="99"/>
    <w:rsid w:val="006E0CFE"/>
    <w:rPr>
      <w:rFonts w:ascii="Courier New" w:eastAsia="Times New Roman" w:hAnsi="Courier New" w:cs="Courier New"/>
      <w:sz w:val="20"/>
      <w:szCs w:val="20"/>
      <w:lang w:eastAsia="it-IT"/>
    </w:rPr>
  </w:style>
  <w:style w:type="paragraph" w:styleId="Intestazione">
    <w:name w:val="header"/>
    <w:basedOn w:val="Normale"/>
    <w:link w:val="IntestazioneCarattere"/>
    <w:uiPriority w:val="99"/>
    <w:semiHidden/>
    <w:unhideWhenUsed/>
    <w:rsid w:val="000B0A0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B0A0A"/>
  </w:style>
  <w:style w:type="paragraph" w:styleId="Pidipagina">
    <w:name w:val="footer"/>
    <w:basedOn w:val="Normale"/>
    <w:link w:val="PidipaginaCarattere"/>
    <w:uiPriority w:val="99"/>
    <w:unhideWhenUsed/>
    <w:rsid w:val="000B0A0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B0A0A"/>
  </w:style>
  <w:style w:type="character" w:styleId="Numeroriga">
    <w:name w:val="line number"/>
    <w:basedOn w:val="Carpredefinitoparagrafo"/>
    <w:uiPriority w:val="99"/>
    <w:semiHidden/>
    <w:unhideWhenUsed/>
    <w:rsid w:val="00C44A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44932">
      <w:bodyDiv w:val="1"/>
      <w:marLeft w:val="0"/>
      <w:marRight w:val="0"/>
      <w:marTop w:val="0"/>
      <w:marBottom w:val="0"/>
      <w:divBdr>
        <w:top w:val="none" w:sz="0" w:space="0" w:color="auto"/>
        <w:left w:val="none" w:sz="0" w:space="0" w:color="auto"/>
        <w:bottom w:val="none" w:sz="0" w:space="0" w:color="auto"/>
        <w:right w:val="none" w:sz="0" w:space="0" w:color="auto"/>
      </w:divBdr>
    </w:div>
    <w:div w:id="42408969">
      <w:bodyDiv w:val="1"/>
      <w:marLeft w:val="0"/>
      <w:marRight w:val="0"/>
      <w:marTop w:val="0"/>
      <w:marBottom w:val="0"/>
      <w:divBdr>
        <w:top w:val="none" w:sz="0" w:space="0" w:color="auto"/>
        <w:left w:val="none" w:sz="0" w:space="0" w:color="auto"/>
        <w:bottom w:val="none" w:sz="0" w:space="0" w:color="auto"/>
        <w:right w:val="none" w:sz="0" w:space="0" w:color="auto"/>
      </w:divBdr>
    </w:div>
    <w:div w:id="47926096">
      <w:bodyDiv w:val="1"/>
      <w:marLeft w:val="0"/>
      <w:marRight w:val="0"/>
      <w:marTop w:val="0"/>
      <w:marBottom w:val="0"/>
      <w:divBdr>
        <w:top w:val="none" w:sz="0" w:space="0" w:color="auto"/>
        <w:left w:val="none" w:sz="0" w:space="0" w:color="auto"/>
        <w:bottom w:val="none" w:sz="0" w:space="0" w:color="auto"/>
        <w:right w:val="none" w:sz="0" w:space="0" w:color="auto"/>
      </w:divBdr>
    </w:div>
    <w:div w:id="50081014">
      <w:bodyDiv w:val="1"/>
      <w:marLeft w:val="0"/>
      <w:marRight w:val="0"/>
      <w:marTop w:val="0"/>
      <w:marBottom w:val="0"/>
      <w:divBdr>
        <w:top w:val="none" w:sz="0" w:space="0" w:color="auto"/>
        <w:left w:val="none" w:sz="0" w:space="0" w:color="auto"/>
        <w:bottom w:val="none" w:sz="0" w:space="0" w:color="auto"/>
        <w:right w:val="none" w:sz="0" w:space="0" w:color="auto"/>
      </w:divBdr>
    </w:div>
    <w:div w:id="68239842">
      <w:bodyDiv w:val="1"/>
      <w:marLeft w:val="0"/>
      <w:marRight w:val="0"/>
      <w:marTop w:val="0"/>
      <w:marBottom w:val="0"/>
      <w:divBdr>
        <w:top w:val="none" w:sz="0" w:space="0" w:color="auto"/>
        <w:left w:val="none" w:sz="0" w:space="0" w:color="auto"/>
        <w:bottom w:val="none" w:sz="0" w:space="0" w:color="auto"/>
        <w:right w:val="none" w:sz="0" w:space="0" w:color="auto"/>
      </w:divBdr>
    </w:div>
    <w:div w:id="89815218">
      <w:bodyDiv w:val="1"/>
      <w:marLeft w:val="0"/>
      <w:marRight w:val="0"/>
      <w:marTop w:val="0"/>
      <w:marBottom w:val="0"/>
      <w:divBdr>
        <w:top w:val="none" w:sz="0" w:space="0" w:color="auto"/>
        <w:left w:val="none" w:sz="0" w:space="0" w:color="auto"/>
        <w:bottom w:val="none" w:sz="0" w:space="0" w:color="auto"/>
        <w:right w:val="none" w:sz="0" w:space="0" w:color="auto"/>
      </w:divBdr>
    </w:div>
    <w:div w:id="138815423">
      <w:bodyDiv w:val="1"/>
      <w:marLeft w:val="0"/>
      <w:marRight w:val="0"/>
      <w:marTop w:val="0"/>
      <w:marBottom w:val="0"/>
      <w:divBdr>
        <w:top w:val="none" w:sz="0" w:space="0" w:color="auto"/>
        <w:left w:val="none" w:sz="0" w:space="0" w:color="auto"/>
        <w:bottom w:val="none" w:sz="0" w:space="0" w:color="auto"/>
        <w:right w:val="none" w:sz="0" w:space="0" w:color="auto"/>
      </w:divBdr>
    </w:div>
    <w:div w:id="154952484">
      <w:bodyDiv w:val="1"/>
      <w:marLeft w:val="0"/>
      <w:marRight w:val="0"/>
      <w:marTop w:val="0"/>
      <w:marBottom w:val="0"/>
      <w:divBdr>
        <w:top w:val="none" w:sz="0" w:space="0" w:color="auto"/>
        <w:left w:val="none" w:sz="0" w:space="0" w:color="auto"/>
        <w:bottom w:val="none" w:sz="0" w:space="0" w:color="auto"/>
        <w:right w:val="none" w:sz="0" w:space="0" w:color="auto"/>
      </w:divBdr>
    </w:div>
    <w:div w:id="286015268">
      <w:bodyDiv w:val="1"/>
      <w:marLeft w:val="0"/>
      <w:marRight w:val="0"/>
      <w:marTop w:val="0"/>
      <w:marBottom w:val="0"/>
      <w:divBdr>
        <w:top w:val="none" w:sz="0" w:space="0" w:color="auto"/>
        <w:left w:val="none" w:sz="0" w:space="0" w:color="auto"/>
        <w:bottom w:val="none" w:sz="0" w:space="0" w:color="auto"/>
        <w:right w:val="none" w:sz="0" w:space="0" w:color="auto"/>
      </w:divBdr>
    </w:div>
    <w:div w:id="375399781">
      <w:bodyDiv w:val="1"/>
      <w:marLeft w:val="0"/>
      <w:marRight w:val="0"/>
      <w:marTop w:val="0"/>
      <w:marBottom w:val="0"/>
      <w:divBdr>
        <w:top w:val="none" w:sz="0" w:space="0" w:color="auto"/>
        <w:left w:val="none" w:sz="0" w:space="0" w:color="auto"/>
        <w:bottom w:val="none" w:sz="0" w:space="0" w:color="auto"/>
        <w:right w:val="none" w:sz="0" w:space="0" w:color="auto"/>
      </w:divBdr>
      <w:divsChild>
        <w:div w:id="1125546070">
          <w:marLeft w:val="0"/>
          <w:marRight w:val="0"/>
          <w:marTop w:val="34"/>
          <w:marBottom w:val="34"/>
          <w:divBdr>
            <w:top w:val="none" w:sz="0" w:space="0" w:color="auto"/>
            <w:left w:val="none" w:sz="0" w:space="0" w:color="auto"/>
            <w:bottom w:val="none" w:sz="0" w:space="0" w:color="auto"/>
            <w:right w:val="none" w:sz="0" w:space="0" w:color="auto"/>
          </w:divBdr>
        </w:div>
      </w:divsChild>
    </w:div>
    <w:div w:id="380830328">
      <w:bodyDiv w:val="1"/>
      <w:marLeft w:val="0"/>
      <w:marRight w:val="0"/>
      <w:marTop w:val="0"/>
      <w:marBottom w:val="0"/>
      <w:divBdr>
        <w:top w:val="none" w:sz="0" w:space="0" w:color="auto"/>
        <w:left w:val="none" w:sz="0" w:space="0" w:color="auto"/>
        <w:bottom w:val="none" w:sz="0" w:space="0" w:color="auto"/>
        <w:right w:val="none" w:sz="0" w:space="0" w:color="auto"/>
      </w:divBdr>
    </w:div>
    <w:div w:id="408894052">
      <w:bodyDiv w:val="1"/>
      <w:marLeft w:val="0"/>
      <w:marRight w:val="0"/>
      <w:marTop w:val="0"/>
      <w:marBottom w:val="0"/>
      <w:divBdr>
        <w:top w:val="none" w:sz="0" w:space="0" w:color="auto"/>
        <w:left w:val="none" w:sz="0" w:space="0" w:color="auto"/>
        <w:bottom w:val="none" w:sz="0" w:space="0" w:color="auto"/>
        <w:right w:val="none" w:sz="0" w:space="0" w:color="auto"/>
      </w:divBdr>
    </w:div>
    <w:div w:id="426120639">
      <w:bodyDiv w:val="1"/>
      <w:marLeft w:val="0"/>
      <w:marRight w:val="0"/>
      <w:marTop w:val="0"/>
      <w:marBottom w:val="0"/>
      <w:divBdr>
        <w:top w:val="none" w:sz="0" w:space="0" w:color="auto"/>
        <w:left w:val="none" w:sz="0" w:space="0" w:color="auto"/>
        <w:bottom w:val="none" w:sz="0" w:space="0" w:color="auto"/>
        <w:right w:val="none" w:sz="0" w:space="0" w:color="auto"/>
      </w:divBdr>
    </w:div>
    <w:div w:id="488181564">
      <w:bodyDiv w:val="1"/>
      <w:marLeft w:val="0"/>
      <w:marRight w:val="0"/>
      <w:marTop w:val="0"/>
      <w:marBottom w:val="0"/>
      <w:divBdr>
        <w:top w:val="none" w:sz="0" w:space="0" w:color="auto"/>
        <w:left w:val="none" w:sz="0" w:space="0" w:color="auto"/>
        <w:bottom w:val="none" w:sz="0" w:space="0" w:color="auto"/>
        <w:right w:val="none" w:sz="0" w:space="0" w:color="auto"/>
      </w:divBdr>
    </w:div>
    <w:div w:id="493956924">
      <w:bodyDiv w:val="1"/>
      <w:marLeft w:val="0"/>
      <w:marRight w:val="0"/>
      <w:marTop w:val="0"/>
      <w:marBottom w:val="0"/>
      <w:divBdr>
        <w:top w:val="none" w:sz="0" w:space="0" w:color="auto"/>
        <w:left w:val="none" w:sz="0" w:space="0" w:color="auto"/>
        <w:bottom w:val="none" w:sz="0" w:space="0" w:color="auto"/>
        <w:right w:val="none" w:sz="0" w:space="0" w:color="auto"/>
      </w:divBdr>
    </w:div>
    <w:div w:id="502866695">
      <w:bodyDiv w:val="1"/>
      <w:marLeft w:val="0"/>
      <w:marRight w:val="0"/>
      <w:marTop w:val="0"/>
      <w:marBottom w:val="0"/>
      <w:divBdr>
        <w:top w:val="none" w:sz="0" w:space="0" w:color="auto"/>
        <w:left w:val="none" w:sz="0" w:space="0" w:color="auto"/>
        <w:bottom w:val="none" w:sz="0" w:space="0" w:color="auto"/>
        <w:right w:val="none" w:sz="0" w:space="0" w:color="auto"/>
      </w:divBdr>
    </w:div>
    <w:div w:id="513155897">
      <w:bodyDiv w:val="1"/>
      <w:marLeft w:val="0"/>
      <w:marRight w:val="0"/>
      <w:marTop w:val="0"/>
      <w:marBottom w:val="0"/>
      <w:divBdr>
        <w:top w:val="none" w:sz="0" w:space="0" w:color="auto"/>
        <w:left w:val="none" w:sz="0" w:space="0" w:color="auto"/>
        <w:bottom w:val="none" w:sz="0" w:space="0" w:color="auto"/>
        <w:right w:val="none" w:sz="0" w:space="0" w:color="auto"/>
      </w:divBdr>
    </w:div>
    <w:div w:id="612631750">
      <w:bodyDiv w:val="1"/>
      <w:marLeft w:val="0"/>
      <w:marRight w:val="0"/>
      <w:marTop w:val="0"/>
      <w:marBottom w:val="0"/>
      <w:divBdr>
        <w:top w:val="none" w:sz="0" w:space="0" w:color="auto"/>
        <w:left w:val="none" w:sz="0" w:space="0" w:color="auto"/>
        <w:bottom w:val="none" w:sz="0" w:space="0" w:color="auto"/>
        <w:right w:val="none" w:sz="0" w:space="0" w:color="auto"/>
      </w:divBdr>
    </w:div>
    <w:div w:id="711614723">
      <w:bodyDiv w:val="1"/>
      <w:marLeft w:val="0"/>
      <w:marRight w:val="0"/>
      <w:marTop w:val="0"/>
      <w:marBottom w:val="0"/>
      <w:divBdr>
        <w:top w:val="none" w:sz="0" w:space="0" w:color="auto"/>
        <w:left w:val="none" w:sz="0" w:space="0" w:color="auto"/>
        <w:bottom w:val="none" w:sz="0" w:space="0" w:color="auto"/>
        <w:right w:val="none" w:sz="0" w:space="0" w:color="auto"/>
      </w:divBdr>
    </w:div>
    <w:div w:id="717434491">
      <w:bodyDiv w:val="1"/>
      <w:marLeft w:val="0"/>
      <w:marRight w:val="0"/>
      <w:marTop w:val="0"/>
      <w:marBottom w:val="0"/>
      <w:divBdr>
        <w:top w:val="none" w:sz="0" w:space="0" w:color="auto"/>
        <w:left w:val="none" w:sz="0" w:space="0" w:color="auto"/>
        <w:bottom w:val="none" w:sz="0" w:space="0" w:color="auto"/>
        <w:right w:val="none" w:sz="0" w:space="0" w:color="auto"/>
      </w:divBdr>
    </w:div>
    <w:div w:id="732587139">
      <w:bodyDiv w:val="1"/>
      <w:marLeft w:val="0"/>
      <w:marRight w:val="0"/>
      <w:marTop w:val="0"/>
      <w:marBottom w:val="0"/>
      <w:divBdr>
        <w:top w:val="none" w:sz="0" w:space="0" w:color="auto"/>
        <w:left w:val="none" w:sz="0" w:space="0" w:color="auto"/>
        <w:bottom w:val="none" w:sz="0" w:space="0" w:color="auto"/>
        <w:right w:val="none" w:sz="0" w:space="0" w:color="auto"/>
      </w:divBdr>
    </w:div>
    <w:div w:id="733313836">
      <w:bodyDiv w:val="1"/>
      <w:marLeft w:val="0"/>
      <w:marRight w:val="0"/>
      <w:marTop w:val="0"/>
      <w:marBottom w:val="0"/>
      <w:divBdr>
        <w:top w:val="none" w:sz="0" w:space="0" w:color="auto"/>
        <w:left w:val="none" w:sz="0" w:space="0" w:color="auto"/>
        <w:bottom w:val="none" w:sz="0" w:space="0" w:color="auto"/>
        <w:right w:val="none" w:sz="0" w:space="0" w:color="auto"/>
      </w:divBdr>
    </w:div>
    <w:div w:id="796335128">
      <w:bodyDiv w:val="1"/>
      <w:marLeft w:val="0"/>
      <w:marRight w:val="0"/>
      <w:marTop w:val="0"/>
      <w:marBottom w:val="0"/>
      <w:divBdr>
        <w:top w:val="none" w:sz="0" w:space="0" w:color="auto"/>
        <w:left w:val="none" w:sz="0" w:space="0" w:color="auto"/>
        <w:bottom w:val="none" w:sz="0" w:space="0" w:color="auto"/>
        <w:right w:val="none" w:sz="0" w:space="0" w:color="auto"/>
      </w:divBdr>
    </w:div>
    <w:div w:id="855070947">
      <w:bodyDiv w:val="1"/>
      <w:marLeft w:val="0"/>
      <w:marRight w:val="0"/>
      <w:marTop w:val="0"/>
      <w:marBottom w:val="0"/>
      <w:divBdr>
        <w:top w:val="none" w:sz="0" w:space="0" w:color="auto"/>
        <w:left w:val="none" w:sz="0" w:space="0" w:color="auto"/>
        <w:bottom w:val="none" w:sz="0" w:space="0" w:color="auto"/>
        <w:right w:val="none" w:sz="0" w:space="0" w:color="auto"/>
      </w:divBdr>
    </w:div>
    <w:div w:id="960840616">
      <w:bodyDiv w:val="1"/>
      <w:marLeft w:val="0"/>
      <w:marRight w:val="0"/>
      <w:marTop w:val="0"/>
      <w:marBottom w:val="0"/>
      <w:divBdr>
        <w:top w:val="none" w:sz="0" w:space="0" w:color="auto"/>
        <w:left w:val="none" w:sz="0" w:space="0" w:color="auto"/>
        <w:bottom w:val="none" w:sz="0" w:space="0" w:color="auto"/>
        <w:right w:val="none" w:sz="0" w:space="0" w:color="auto"/>
      </w:divBdr>
    </w:div>
    <w:div w:id="980236408">
      <w:bodyDiv w:val="1"/>
      <w:marLeft w:val="0"/>
      <w:marRight w:val="0"/>
      <w:marTop w:val="0"/>
      <w:marBottom w:val="0"/>
      <w:divBdr>
        <w:top w:val="none" w:sz="0" w:space="0" w:color="auto"/>
        <w:left w:val="none" w:sz="0" w:space="0" w:color="auto"/>
        <w:bottom w:val="none" w:sz="0" w:space="0" w:color="auto"/>
        <w:right w:val="none" w:sz="0" w:space="0" w:color="auto"/>
      </w:divBdr>
    </w:div>
    <w:div w:id="1085687640">
      <w:bodyDiv w:val="1"/>
      <w:marLeft w:val="0"/>
      <w:marRight w:val="0"/>
      <w:marTop w:val="0"/>
      <w:marBottom w:val="0"/>
      <w:divBdr>
        <w:top w:val="none" w:sz="0" w:space="0" w:color="auto"/>
        <w:left w:val="none" w:sz="0" w:space="0" w:color="auto"/>
        <w:bottom w:val="none" w:sz="0" w:space="0" w:color="auto"/>
        <w:right w:val="none" w:sz="0" w:space="0" w:color="auto"/>
      </w:divBdr>
    </w:div>
    <w:div w:id="1187597293">
      <w:bodyDiv w:val="1"/>
      <w:marLeft w:val="0"/>
      <w:marRight w:val="0"/>
      <w:marTop w:val="0"/>
      <w:marBottom w:val="0"/>
      <w:divBdr>
        <w:top w:val="none" w:sz="0" w:space="0" w:color="auto"/>
        <w:left w:val="none" w:sz="0" w:space="0" w:color="auto"/>
        <w:bottom w:val="none" w:sz="0" w:space="0" w:color="auto"/>
        <w:right w:val="none" w:sz="0" w:space="0" w:color="auto"/>
      </w:divBdr>
    </w:div>
    <w:div w:id="1208713036">
      <w:bodyDiv w:val="1"/>
      <w:marLeft w:val="0"/>
      <w:marRight w:val="0"/>
      <w:marTop w:val="0"/>
      <w:marBottom w:val="0"/>
      <w:divBdr>
        <w:top w:val="none" w:sz="0" w:space="0" w:color="auto"/>
        <w:left w:val="none" w:sz="0" w:space="0" w:color="auto"/>
        <w:bottom w:val="none" w:sz="0" w:space="0" w:color="auto"/>
        <w:right w:val="none" w:sz="0" w:space="0" w:color="auto"/>
      </w:divBdr>
    </w:div>
    <w:div w:id="1215197096">
      <w:bodyDiv w:val="1"/>
      <w:marLeft w:val="0"/>
      <w:marRight w:val="0"/>
      <w:marTop w:val="0"/>
      <w:marBottom w:val="0"/>
      <w:divBdr>
        <w:top w:val="none" w:sz="0" w:space="0" w:color="auto"/>
        <w:left w:val="none" w:sz="0" w:space="0" w:color="auto"/>
        <w:bottom w:val="none" w:sz="0" w:space="0" w:color="auto"/>
        <w:right w:val="none" w:sz="0" w:space="0" w:color="auto"/>
      </w:divBdr>
    </w:div>
    <w:div w:id="1235579650">
      <w:bodyDiv w:val="1"/>
      <w:marLeft w:val="0"/>
      <w:marRight w:val="0"/>
      <w:marTop w:val="0"/>
      <w:marBottom w:val="0"/>
      <w:divBdr>
        <w:top w:val="none" w:sz="0" w:space="0" w:color="auto"/>
        <w:left w:val="none" w:sz="0" w:space="0" w:color="auto"/>
        <w:bottom w:val="none" w:sz="0" w:space="0" w:color="auto"/>
        <w:right w:val="none" w:sz="0" w:space="0" w:color="auto"/>
      </w:divBdr>
    </w:div>
    <w:div w:id="1309359564">
      <w:bodyDiv w:val="1"/>
      <w:marLeft w:val="0"/>
      <w:marRight w:val="0"/>
      <w:marTop w:val="0"/>
      <w:marBottom w:val="0"/>
      <w:divBdr>
        <w:top w:val="none" w:sz="0" w:space="0" w:color="auto"/>
        <w:left w:val="none" w:sz="0" w:space="0" w:color="auto"/>
        <w:bottom w:val="none" w:sz="0" w:space="0" w:color="auto"/>
        <w:right w:val="none" w:sz="0" w:space="0" w:color="auto"/>
      </w:divBdr>
    </w:div>
    <w:div w:id="1433547268">
      <w:bodyDiv w:val="1"/>
      <w:marLeft w:val="0"/>
      <w:marRight w:val="0"/>
      <w:marTop w:val="0"/>
      <w:marBottom w:val="0"/>
      <w:divBdr>
        <w:top w:val="none" w:sz="0" w:space="0" w:color="auto"/>
        <w:left w:val="none" w:sz="0" w:space="0" w:color="auto"/>
        <w:bottom w:val="none" w:sz="0" w:space="0" w:color="auto"/>
        <w:right w:val="none" w:sz="0" w:space="0" w:color="auto"/>
      </w:divBdr>
    </w:div>
    <w:div w:id="1452555794">
      <w:bodyDiv w:val="1"/>
      <w:marLeft w:val="0"/>
      <w:marRight w:val="0"/>
      <w:marTop w:val="0"/>
      <w:marBottom w:val="0"/>
      <w:divBdr>
        <w:top w:val="none" w:sz="0" w:space="0" w:color="auto"/>
        <w:left w:val="none" w:sz="0" w:space="0" w:color="auto"/>
        <w:bottom w:val="none" w:sz="0" w:space="0" w:color="auto"/>
        <w:right w:val="none" w:sz="0" w:space="0" w:color="auto"/>
      </w:divBdr>
    </w:div>
    <w:div w:id="1748651190">
      <w:bodyDiv w:val="1"/>
      <w:marLeft w:val="0"/>
      <w:marRight w:val="0"/>
      <w:marTop w:val="0"/>
      <w:marBottom w:val="0"/>
      <w:divBdr>
        <w:top w:val="none" w:sz="0" w:space="0" w:color="auto"/>
        <w:left w:val="none" w:sz="0" w:space="0" w:color="auto"/>
        <w:bottom w:val="none" w:sz="0" w:space="0" w:color="auto"/>
        <w:right w:val="none" w:sz="0" w:space="0" w:color="auto"/>
      </w:divBdr>
    </w:div>
    <w:div w:id="1754084565">
      <w:bodyDiv w:val="1"/>
      <w:marLeft w:val="0"/>
      <w:marRight w:val="0"/>
      <w:marTop w:val="0"/>
      <w:marBottom w:val="0"/>
      <w:divBdr>
        <w:top w:val="none" w:sz="0" w:space="0" w:color="auto"/>
        <w:left w:val="none" w:sz="0" w:space="0" w:color="auto"/>
        <w:bottom w:val="none" w:sz="0" w:space="0" w:color="auto"/>
        <w:right w:val="none" w:sz="0" w:space="0" w:color="auto"/>
      </w:divBdr>
    </w:div>
    <w:div w:id="1758406699">
      <w:bodyDiv w:val="1"/>
      <w:marLeft w:val="0"/>
      <w:marRight w:val="0"/>
      <w:marTop w:val="0"/>
      <w:marBottom w:val="0"/>
      <w:divBdr>
        <w:top w:val="none" w:sz="0" w:space="0" w:color="auto"/>
        <w:left w:val="none" w:sz="0" w:space="0" w:color="auto"/>
        <w:bottom w:val="none" w:sz="0" w:space="0" w:color="auto"/>
        <w:right w:val="none" w:sz="0" w:space="0" w:color="auto"/>
      </w:divBdr>
    </w:div>
    <w:div w:id="1823810054">
      <w:bodyDiv w:val="1"/>
      <w:marLeft w:val="0"/>
      <w:marRight w:val="0"/>
      <w:marTop w:val="0"/>
      <w:marBottom w:val="0"/>
      <w:divBdr>
        <w:top w:val="none" w:sz="0" w:space="0" w:color="auto"/>
        <w:left w:val="none" w:sz="0" w:space="0" w:color="auto"/>
        <w:bottom w:val="none" w:sz="0" w:space="0" w:color="auto"/>
        <w:right w:val="none" w:sz="0" w:space="0" w:color="auto"/>
      </w:divBdr>
    </w:div>
    <w:div w:id="1854108348">
      <w:bodyDiv w:val="1"/>
      <w:marLeft w:val="0"/>
      <w:marRight w:val="0"/>
      <w:marTop w:val="0"/>
      <w:marBottom w:val="0"/>
      <w:divBdr>
        <w:top w:val="none" w:sz="0" w:space="0" w:color="auto"/>
        <w:left w:val="none" w:sz="0" w:space="0" w:color="auto"/>
        <w:bottom w:val="none" w:sz="0" w:space="0" w:color="auto"/>
        <w:right w:val="none" w:sz="0" w:space="0" w:color="auto"/>
      </w:divBdr>
    </w:div>
    <w:div w:id="1871525598">
      <w:bodyDiv w:val="1"/>
      <w:marLeft w:val="0"/>
      <w:marRight w:val="0"/>
      <w:marTop w:val="0"/>
      <w:marBottom w:val="0"/>
      <w:divBdr>
        <w:top w:val="none" w:sz="0" w:space="0" w:color="auto"/>
        <w:left w:val="none" w:sz="0" w:space="0" w:color="auto"/>
        <w:bottom w:val="none" w:sz="0" w:space="0" w:color="auto"/>
        <w:right w:val="none" w:sz="0" w:space="0" w:color="auto"/>
      </w:divBdr>
      <w:divsChild>
        <w:div w:id="928662722">
          <w:marLeft w:val="0"/>
          <w:marRight w:val="0"/>
          <w:marTop w:val="0"/>
          <w:marBottom w:val="0"/>
          <w:divBdr>
            <w:top w:val="none" w:sz="0" w:space="0" w:color="auto"/>
            <w:left w:val="none" w:sz="0" w:space="0" w:color="auto"/>
            <w:bottom w:val="none" w:sz="0" w:space="0" w:color="auto"/>
            <w:right w:val="none" w:sz="0" w:space="0" w:color="auto"/>
          </w:divBdr>
        </w:div>
        <w:div w:id="1820686387">
          <w:marLeft w:val="0"/>
          <w:marRight w:val="0"/>
          <w:marTop w:val="0"/>
          <w:marBottom w:val="0"/>
          <w:divBdr>
            <w:top w:val="none" w:sz="0" w:space="0" w:color="auto"/>
            <w:left w:val="none" w:sz="0" w:space="0" w:color="auto"/>
            <w:bottom w:val="none" w:sz="0" w:space="0" w:color="auto"/>
            <w:right w:val="none" w:sz="0" w:space="0" w:color="auto"/>
          </w:divBdr>
        </w:div>
      </w:divsChild>
    </w:div>
    <w:div w:id="1927376513">
      <w:bodyDiv w:val="1"/>
      <w:marLeft w:val="0"/>
      <w:marRight w:val="0"/>
      <w:marTop w:val="0"/>
      <w:marBottom w:val="0"/>
      <w:divBdr>
        <w:top w:val="none" w:sz="0" w:space="0" w:color="auto"/>
        <w:left w:val="none" w:sz="0" w:space="0" w:color="auto"/>
        <w:bottom w:val="none" w:sz="0" w:space="0" w:color="auto"/>
        <w:right w:val="none" w:sz="0" w:space="0" w:color="auto"/>
      </w:divBdr>
    </w:div>
    <w:div w:id="1956791172">
      <w:bodyDiv w:val="1"/>
      <w:marLeft w:val="0"/>
      <w:marRight w:val="0"/>
      <w:marTop w:val="0"/>
      <w:marBottom w:val="0"/>
      <w:divBdr>
        <w:top w:val="none" w:sz="0" w:space="0" w:color="auto"/>
        <w:left w:val="none" w:sz="0" w:space="0" w:color="auto"/>
        <w:bottom w:val="none" w:sz="0" w:space="0" w:color="auto"/>
        <w:right w:val="none" w:sz="0" w:space="0" w:color="auto"/>
      </w:divBdr>
    </w:div>
    <w:div w:id="206197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pubmed/?term=Kim%20GB%5BAuthor%5D&amp;cauthor=true&amp;cauthor_uid=25984572" TargetMode="External"/><Relationship Id="rId18" Type="http://schemas.openxmlformats.org/officeDocument/2006/relationships/hyperlink" Target="http://www.ncbi.nlm.nih.gov/pubmed/?term=Bain%20MD%5BAuthor%5D&amp;cauthor=true&amp;cauthor_uid=10886203" TargetMode="External"/><Relationship Id="rId26" Type="http://schemas.openxmlformats.org/officeDocument/2006/relationships/hyperlink" Target="http://www.ncbi.nlm.nih.gov/pubmed/?term=Maffia%20A%5BAuthor%5D&amp;cauthor=true&amp;cauthor_uid=23755756" TargetMode="External"/><Relationship Id="rId21" Type="http://schemas.openxmlformats.org/officeDocument/2006/relationships/hyperlink" Target="http://www.ncbi.nlm.nih.gov/pubmed/?term=Chalmers%20RA%5BAuthor%5D&amp;cauthor=true&amp;cauthor_uid=10886203" TargetMode="External"/><Relationship Id="rId34" Type="http://schemas.openxmlformats.org/officeDocument/2006/relationships/hyperlink" Target="http://www.ncbi.nlm.nih.gov/pubmed/10051049" TargetMode="External"/><Relationship Id="rId7" Type="http://schemas.openxmlformats.org/officeDocument/2006/relationships/footnotes" Target="footnotes.xml"/><Relationship Id="rId12" Type="http://schemas.openxmlformats.org/officeDocument/2006/relationships/hyperlink" Target="http://www.ncbi.nlm.nih.gov/pubmed/?term=Xie%20Z%5BAuthor%5D&amp;cauthor=true&amp;cauthor_uid=25984572" TargetMode="External"/><Relationship Id="rId17" Type="http://schemas.openxmlformats.org/officeDocument/2006/relationships/hyperlink" Target="http://www.ncbi.nlm.nih.gov/pubmed/?term=Bax%20BE%5BAuthor%5D&amp;cauthor=true&amp;cauthor_uid=10886203" TargetMode="External"/><Relationship Id="rId25" Type="http://schemas.openxmlformats.org/officeDocument/2006/relationships/hyperlink" Target="http://www.ncbi.nlm.nih.gov/pubmed/?term=Bonifazio%20P%5BAuthor%5D&amp;cauthor=true&amp;cauthor_uid=23755756" TargetMode="External"/><Relationship Id="rId33" Type="http://schemas.openxmlformats.org/officeDocument/2006/relationships/hyperlink" Target="http://www.ncbi.nlm.nih.gov/pubmed/?term=Brown%20K%5BAuthor%5D&amp;cauthor=true&amp;cauthor_uid=10051049"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ncbi.nlm.nih.gov/pubmed/?term=Design+Strategies+and+Applications+of+Circulating+Cell-Mediated+Drug+Delivery+Systems" TargetMode="External"/><Relationship Id="rId20" Type="http://schemas.openxmlformats.org/officeDocument/2006/relationships/hyperlink" Target="http://www.ncbi.nlm.nih.gov/pubmed/?term=Webster%20AD%5BAuthor%5D&amp;cauthor=true&amp;cauthor_uid=10886203" TargetMode="External"/><Relationship Id="rId29" Type="http://schemas.openxmlformats.org/officeDocument/2006/relationships/hyperlink" Target="http://www.ncbi.nlm.nih.gov/pubmed/2375575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bi.nlm.nih.gov/pubmed/?term=Su%20Y%5BAuthor%5D&amp;cauthor=true&amp;cauthor_uid=25984572" TargetMode="External"/><Relationship Id="rId24" Type="http://schemas.openxmlformats.org/officeDocument/2006/relationships/hyperlink" Target="http://www.ncbi.nlm.nih.gov/pubmed/?term=Barco%20S%5BAuthor%5D&amp;cauthor=true&amp;cauthor_uid=23755756" TargetMode="External"/><Relationship Id="rId32" Type="http://schemas.openxmlformats.org/officeDocument/2006/relationships/hyperlink" Target="http://www.ncbi.nlm.nih.gov/pubmed/?term=Keogh%20A%5BAuthor%5D&amp;cauthor=true&amp;cauthor_uid=10051049"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ncbi.nlm.nih.gov/pubmed/?term=Yang%20J%5BAuthor%5D&amp;cauthor=true&amp;cauthor_uid=25984572" TargetMode="External"/><Relationship Id="rId23" Type="http://schemas.openxmlformats.org/officeDocument/2006/relationships/hyperlink" Target="http://www.ncbi.nlm.nih.gov/pubmed/?term=Cangemi%20G%5BAuthor%5D&amp;cauthor=true&amp;cauthor_uid=23755756" TargetMode="External"/><Relationship Id="rId28" Type="http://schemas.openxmlformats.org/officeDocument/2006/relationships/hyperlink" Target="http://www.ncbi.nlm.nih.gov/pubmed/?term=Melioli%20G%5BAuthor%5D&amp;cauthor=true&amp;cauthor_uid=23755756" TargetMode="External"/><Relationship Id="rId36" Type="http://schemas.openxmlformats.org/officeDocument/2006/relationships/footer" Target="footer1.xml"/><Relationship Id="rId10" Type="http://schemas.openxmlformats.org/officeDocument/2006/relationships/hyperlink" Target="http://www.medscape.com/viewarticle/842309" TargetMode="External"/><Relationship Id="rId19" Type="http://schemas.openxmlformats.org/officeDocument/2006/relationships/hyperlink" Target="http://www.ncbi.nlm.nih.gov/pubmed/?term=Fairbanks%20LD%5BAuthor%5D&amp;cauthor=true&amp;cauthor_uid=10886203" TargetMode="External"/><Relationship Id="rId31" Type="http://schemas.openxmlformats.org/officeDocument/2006/relationships/hyperlink" Target="http://www.ncbi.nlm.nih.gov/pubmed/?term=Ashley%20J%5BAuthor%5D&amp;cauthor=true&amp;cauthor_uid=10051049" TargetMode="External"/><Relationship Id="rId4" Type="http://schemas.openxmlformats.org/officeDocument/2006/relationships/styles" Target="styles.xml"/><Relationship Id="rId9" Type="http://schemas.openxmlformats.org/officeDocument/2006/relationships/hyperlink" Target="https://doi.org/10.1016/j.addr.2016.05.008" TargetMode="External"/><Relationship Id="rId14" Type="http://schemas.openxmlformats.org/officeDocument/2006/relationships/hyperlink" Target="http://www.ncbi.nlm.nih.gov/pubmed/?term=Dong%20C%5BAuthor%5D&amp;cauthor=true&amp;cauthor_uid=25984572" TargetMode="External"/><Relationship Id="rId22" Type="http://schemas.openxmlformats.org/officeDocument/2006/relationships/hyperlink" Target="http://www.ncbi.nlm.nih.gov/pubmed/?term=IN+VITRO+AND+IN+VIVO+STUDIES+BAX+b.e.+2000" TargetMode="External"/><Relationship Id="rId27" Type="http://schemas.openxmlformats.org/officeDocument/2006/relationships/hyperlink" Target="http://www.ncbi.nlm.nih.gov/pubmed/?term=Agazzi%20A%5BAuthor%5D&amp;cauthor=true&amp;cauthor_uid=23755756" TargetMode="External"/><Relationship Id="rId30" Type="http://schemas.openxmlformats.org/officeDocument/2006/relationships/hyperlink" Target="http://www.ncbi.nlm.nih.gov/pubmed/?term=Akhlaghi%20F%5BAuthor%5D&amp;cauthor=true&amp;cauthor_uid=10051049" TargetMode="External"/><Relationship Id="rId35" Type="http://schemas.openxmlformats.org/officeDocument/2006/relationships/hyperlink" Target="http://www.medscape.com/viewarticle/842309"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6D0ECE-A584-4052-AD09-8DE301B88E79}">
  <ds:schemaRefs>
    <ds:schemaRef ds:uri="http://schemas.openxmlformats.org/officeDocument/2006/bibliography"/>
  </ds:schemaRefs>
</ds:datastoreItem>
</file>

<file path=customXml/itemProps2.xml><?xml version="1.0" encoding="utf-8"?>
<ds:datastoreItem xmlns:ds="http://schemas.openxmlformats.org/officeDocument/2006/customXml" ds:itemID="{3D7AEC0C-4B9E-4627-A4A0-09923FFE8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17056</Words>
  <Characters>95515</Characters>
  <Application>Microsoft Office Word</Application>
  <DocSecurity>0</DocSecurity>
  <Lines>2221</Lines>
  <Paragraphs>970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Giovanni Piersanti</cp:lastModifiedBy>
  <cp:revision>2</cp:revision>
  <cp:lastPrinted>2016-04-29T08:08:00Z</cp:lastPrinted>
  <dcterms:created xsi:type="dcterms:W3CDTF">2022-06-22T15:01:00Z</dcterms:created>
  <dcterms:modified xsi:type="dcterms:W3CDTF">2022-06-22T15:01:00Z</dcterms:modified>
</cp:coreProperties>
</file>