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CF525C" w14:textId="19A2E5AC" w:rsidR="009578C6" w:rsidRDefault="00033EB1" w:rsidP="00F35EB1">
      <w:pPr>
        <w:jc w:val="center"/>
        <w:rPr>
          <w:rFonts w:ascii="Arial" w:hAnsi="Arial" w:cs="Arial"/>
          <w:b/>
          <w:bCs/>
          <w:sz w:val="28"/>
          <w:szCs w:val="28"/>
          <w:lang w:val="en-US"/>
        </w:rPr>
      </w:pPr>
      <w:r w:rsidRPr="00C277F6">
        <w:rPr>
          <w:rFonts w:ascii="Arial" w:hAnsi="Arial" w:cs="Arial"/>
          <w:b/>
          <w:bCs/>
          <w:sz w:val="28"/>
          <w:szCs w:val="28"/>
          <w:lang w:val="en-US"/>
        </w:rPr>
        <w:t xml:space="preserve">Individual responses to physical activity: study of the </w:t>
      </w:r>
      <w:r w:rsidR="00FC0ECD">
        <w:rPr>
          <w:rFonts w:ascii="Arial" w:hAnsi="Arial" w:cs="Arial"/>
          <w:b/>
          <w:bCs/>
          <w:sz w:val="28"/>
          <w:szCs w:val="28"/>
          <w:lang w:val="en-US"/>
        </w:rPr>
        <w:t>salivar</w:t>
      </w:r>
      <w:r w:rsidR="0033645E">
        <w:rPr>
          <w:rFonts w:ascii="Arial" w:hAnsi="Arial" w:cs="Arial"/>
          <w:b/>
          <w:bCs/>
          <w:sz w:val="28"/>
          <w:szCs w:val="28"/>
          <w:lang w:val="en-US"/>
        </w:rPr>
        <w:t>y extracellular vesicles</w:t>
      </w:r>
    </w:p>
    <w:p w14:paraId="41028269" w14:textId="55C38B95" w:rsidR="00F35EB1" w:rsidRPr="00615772" w:rsidRDefault="00F35EB1" w:rsidP="00F35EB1">
      <w:pPr>
        <w:jc w:val="both"/>
        <w:rPr>
          <w:rFonts w:ascii="Verdana" w:eastAsia="Arial" w:hAnsi="Verdana" w:cs="Arial"/>
          <w:color w:val="000000"/>
          <w:sz w:val="20"/>
          <w:szCs w:val="20"/>
          <w:lang w:val="en-US"/>
        </w:rPr>
      </w:pPr>
      <w:r w:rsidRPr="00615772">
        <w:rPr>
          <w:rFonts w:ascii="Arial" w:eastAsia="Arial" w:hAnsi="Arial" w:cs="Arial"/>
          <w:color w:val="000000"/>
          <w:sz w:val="24"/>
          <w:szCs w:val="24"/>
          <w:u w:val="single"/>
        </w:rPr>
        <w:t>S. Fondi</w:t>
      </w:r>
      <w:r w:rsidRPr="00615772">
        <w:rPr>
          <w:rFonts w:ascii="Arial" w:eastAsia="Arial" w:hAnsi="Arial" w:cs="Arial"/>
          <w:color w:val="000000"/>
          <w:sz w:val="24"/>
          <w:szCs w:val="24"/>
          <w:vertAlign w:val="superscript"/>
        </w:rPr>
        <w:t>1</w:t>
      </w:r>
      <w:r w:rsidRPr="00615772">
        <w:rPr>
          <w:rFonts w:ascii="Arial" w:eastAsia="Arial" w:hAnsi="Arial" w:cs="Arial"/>
          <w:color w:val="000000"/>
          <w:sz w:val="24"/>
          <w:szCs w:val="24"/>
        </w:rPr>
        <w:t>, R Agostini</w:t>
      </w:r>
      <w:r w:rsidRPr="00615772">
        <w:rPr>
          <w:rFonts w:ascii="Arial" w:eastAsia="Arial" w:hAnsi="Arial" w:cs="Arial"/>
          <w:color w:val="000000"/>
          <w:sz w:val="24"/>
          <w:szCs w:val="24"/>
          <w:vertAlign w:val="superscript"/>
        </w:rPr>
        <w:t>1</w:t>
      </w:r>
      <w:r w:rsidRPr="00615772">
        <w:rPr>
          <w:rFonts w:ascii="Arial" w:eastAsia="Arial" w:hAnsi="Arial" w:cs="Arial"/>
          <w:color w:val="000000"/>
          <w:sz w:val="24"/>
          <w:szCs w:val="24"/>
        </w:rPr>
        <w:t>, L. Giacomelli</w:t>
      </w:r>
      <w:r w:rsidRPr="00615772">
        <w:rPr>
          <w:rFonts w:ascii="Arial" w:eastAsia="Arial" w:hAnsi="Arial" w:cs="Arial"/>
          <w:color w:val="000000"/>
          <w:sz w:val="24"/>
          <w:szCs w:val="24"/>
          <w:vertAlign w:val="superscript"/>
        </w:rPr>
        <w:t>1</w:t>
      </w:r>
      <w:r w:rsidRPr="00615772">
        <w:rPr>
          <w:rFonts w:ascii="Arial" w:eastAsia="Arial" w:hAnsi="Arial" w:cs="Arial"/>
          <w:color w:val="000000"/>
          <w:sz w:val="24"/>
          <w:szCs w:val="24"/>
        </w:rPr>
        <w:t>, P Ceccaroli</w:t>
      </w:r>
      <w:r w:rsidRPr="00615772">
        <w:rPr>
          <w:rFonts w:ascii="Arial" w:eastAsia="Arial" w:hAnsi="Arial" w:cs="Arial"/>
          <w:color w:val="000000"/>
          <w:sz w:val="24"/>
          <w:szCs w:val="24"/>
          <w:vertAlign w:val="superscript"/>
        </w:rPr>
        <w:t>1</w:t>
      </w:r>
      <w:r w:rsidRPr="00615772">
        <w:rPr>
          <w:rFonts w:ascii="Arial" w:eastAsia="Arial" w:hAnsi="Arial" w:cs="Arial"/>
          <w:color w:val="000000"/>
          <w:sz w:val="24"/>
          <w:szCs w:val="24"/>
        </w:rPr>
        <w:t>, E Polidori</w:t>
      </w:r>
      <w:r w:rsidRPr="00615772">
        <w:rPr>
          <w:rFonts w:ascii="Arial" w:eastAsia="Arial" w:hAnsi="Arial" w:cs="Arial"/>
          <w:color w:val="000000"/>
          <w:sz w:val="24"/>
          <w:szCs w:val="24"/>
          <w:vertAlign w:val="superscript"/>
        </w:rPr>
        <w:t>1</w:t>
      </w:r>
      <w:r w:rsidRPr="00615772">
        <w:rPr>
          <w:rFonts w:ascii="Arial" w:eastAsia="Arial" w:hAnsi="Arial" w:cs="Arial"/>
          <w:color w:val="000000"/>
          <w:sz w:val="24"/>
          <w:szCs w:val="24"/>
        </w:rPr>
        <w:t>, M Guescini</w:t>
      </w:r>
      <w:r w:rsidRPr="00615772">
        <w:rPr>
          <w:rFonts w:ascii="Arial" w:eastAsia="Arial" w:hAnsi="Arial" w:cs="Arial"/>
          <w:color w:val="000000"/>
          <w:sz w:val="24"/>
          <w:szCs w:val="24"/>
          <w:vertAlign w:val="superscript"/>
        </w:rPr>
        <w:t>1</w:t>
      </w:r>
      <w:r w:rsidRPr="005165F0">
        <w:rPr>
          <w:rFonts w:ascii="Verdana" w:eastAsia="Arial" w:hAnsi="Verdana" w:cs="Arial"/>
          <w:color w:val="000000"/>
          <w:sz w:val="24"/>
          <w:szCs w:val="24"/>
        </w:rPr>
        <w:t>.</w:t>
      </w:r>
      <w:r w:rsidRPr="005165F0">
        <w:rPr>
          <w:rFonts w:ascii="Verdana" w:eastAsia="Arial" w:hAnsi="Verdana" w:cs="Arial"/>
          <w:color w:val="000000"/>
          <w:sz w:val="24"/>
          <w:szCs w:val="24"/>
        </w:rPr>
        <w:br/>
      </w:r>
      <w:r w:rsidRPr="005165F0">
        <w:rPr>
          <w:rFonts w:ascii="Verdana" w:eastAsia="Arial" w:hAnsi="Verdana" w:cs="Arial"/>
          <w:color w:val="000000"/>
          <w:sz w:val="24"/>
          <w:szCs w:val="24"/>
        </w:rPr>
        <w:br/>
      </w:r>
      <w:r w:rsidRPr="00615772">
        <w:rPr>
          <w:rFonts w:ascii="Arial" w:eastAsia="Arial" w:hAnsi="Arial" w:cs="Arial"/>
          <w:color w:val="000000"/>
          <w:sz w:val="20"/>
          <w:szCs w:val="20"/>
          <w:vertAlign w:val="superscript"/>
          <w:lang w:val="en-US"/>
        </w:rPr>
        <w:t>1</w:t>
      </w:r>
      <w:r w:rsidRPr="00615772">
        <w:rPr>
          <w:rFonts w:ascii="Arial" w:eastAsia="Arial" w:hAnsi="Arial" w:cs="Arial"/>
          <w:color w:val="000000"/>
          <w:sz w:val="20"/>
          <w:szCs w:val="20"/>
          <w:lang w:val="en-US"/>
        </w:rPr>
        <w:t>Department of Biomolecular Sciences, University of Urbino Carlo Bo, 61029 Urbino, Italy</w:t>
      </w:r>
    </w:p>
    <w:p w14:paraId="7A023043" w14:textId="77777777" w:rsidR="00F35EB1" w:rsidRDefault="00F35EB1">
      <w:pPr>
        <w:rPr>
          <w:rFonts w:ascii="Arial" w:hAnsi="Arial" w:cs="Arial"/>
          <w:b/>
          <w:bCs/>
          <w:sz w:val="24"/>
          <w:szCs w:val="24"/>
          <w:lang w:val="en-US"/>
        </w:rPr>
      </w:pPr>
    </w:p>
    <w:p w14:paraId="2A91A434" w14:textId="0C185EE4" w:rsidR="009F0B5A" w:rsidRDefault="00A209A8" w:rsidP="00A209A8">
      <w:pPr>
        <w:pStyle w:val="NormaleWeb"/>
        <w:spacing w:before="0" w:beforeAutospacing="0" w:after="0" w:afterAutospacing="0"/>
        <w:jc w:val="both"/>
        <w:rPr>
          <w:rFonts w:ascii="Arial" w:hAnsi="Arial" w:cs="Arial"/>
          <w:color w:val="0E101A"/>
          <w:lang w:val="en-GB"/>
        </w:rPr>
      </w:pPr>
      <w:r w:rsidRPr="00615772">
        <w:rPr>
          <w:rStyle w:val="Enfasigrassetto"/>
          <w:rFonts w:ascii="Arial" w:hAnsi="Arial" w:cs="Arial"/>
          <w:color w:val="0E101A"/>
          <w:lang w:val="en-GB"/>
        </w:rPr>
        <w:t>Background:</w:t>
      </w:r>
      <w:r w:rsidRPr="00615772">
        <w:rPr>
          <w:rFonts w:ascii="Arial" w:hAnsi="Arial" w:cs="Arial"/>
          <w:color w:val="0E101A"/>
          <w:lang w:val="en-GB"/>
        </w:rPr>
        <w:t xml:space="preserve"> </w:t>
      </w:r>
      <w:r w:rsidR="009F0B5A">
        <w:rPr>
          <w:rFonts w:ascii="Arial" w:hAnsi="Arial" w:cs="Arial"/>
          <w:color w:val="0E101A"/>
          <w:lang w:val="en-GB"/>
        </w:rPr>
        <w:t xml:space="preserve">It is </w:t>
      </w:r>
      <w:r w:rsidR="00605FEC">
        <w:rPr>
          <w:rFonts w:ascii="Arial" w:hAnsi="Arial" w:cs="Arial" w:hint="eastAsia"/>
          <w:color w:val="0E101A"/>
          <w:lang w:val="en-GB" w:eastAsia="zh-CN"/>
        </w:rPr>
        <w:t>well</w:t>
      </w:r>
      <w:r w:rsidR="009F0B5A">
        <w:rPr>
          <w:rFonts w:ascii="Arial" w:hAnsi="Arial" w:cs="Arial"/>
          <w:color w:val="0E101A"/>
          <w:lang w:val="en-GB"/>
        </w:rPr>
        <w:t xml:space="preserve"> known that </w:t>
      </w:r>
      <w:r w:rsidR="009F0B5A" w:rsidRPr="00615772">
        <w:rPr>
          <w:rFonts w:ascii="Arial" w:hAnsi="Arial" w:cs="Arial"/>
          <w:color w:val="0E101A"/>
          <w:lang w:val="en-GB"/>
        </w:rPr>
        <w:t>regularly performed exercise</w:t>
      </w:r>
      <w:r w:rsidR="009F0B5A">
        <w:rPr>
          <w:rFonts w:ascii="Arial" w:hAnsi="Arial" w:cs="Arial"/>
          <w:color w:val="0E101A"/>
          <w:lang w:val="en-GB"/>
        </w:rPr>
        <w:t xml:space="preserve"> improves muscle endurance through the stimulation of mitochondrial biogenesis. This notion is very well recognized in the context of athletic performance, while the effect that exercise </w:t>
      </w:r>
      <w:r w:rsidR="007A7A46">
        <w:rPr>
          <w:rFonts w:ascii="Arial" w:hAnsi="Arial" w:cs="Arial"/>
          <w:color w:val="0E101A"/>
          <w:lang w:val="en-GB"/>
        </w:rPr>
        <w:t>has</w:t>
      </w:r>
      <w:r w:rsidR="009F0B5A">
        <w:rPr>
          <w:rFonts w:ascii="Arial" w:hAnsi="Arial" w:cs="Arial"/>
          <w:color w:val="0E101A"/>
          <w:lang w:val="en-GB"/>
        </w:rPr>
        <w:t xml:space="preserve"> on muscle metabolism during aging or </w:t>
      </w:r>
      <w:r w:rsidR="008B01E8">
        <w:rPr>
          <w:rFonts w:ascii="Arial" w:hAnsi="Arial" w:cs="Arial"/>
          <w:color w:val="0E101A"/>
          <w:lang w:val="en-GB"/>
        </w:rPr>
        <w:t xml:space="preserve">disease </w:t>
      </w:r>
      <w:r w:rsidR="009F0B5A">
        <w:rPr>
          <w:rFonts w:ascii="Arial" w:hAnsi="Arial" w:cs="Arial"/>
          <w:color w:val="0E101A"/>
          <w:lang w:val="en-GB"/>
        </w:rPr>
        <w:t>conditions when mitochondrial function is compromised has still to be fully investigated.</w:t>
      </w:r>
    </w:p>
    <w:p w14:paraId="1BC3CEF2" w14:textId="45BCDAD1" w:rsidR="00A209A8" w:rsidRPr="00615772" w:rsidRDefault="00A209A8" w:rsidP="00A209A8">
      <w:pPr>
        <w:pStyle w:val="NormaleWeb"/>
        <w:spacing w:before="0" w:beforeAutospacing="0" w:after="0" w:afterAutospacing="0"/>
        <w:jc w:val="both"/>
        <w:rPr>
          <w:rFonts w:ascii="Arial" w:hAnsi="Arial" w:cs="Arial"/>
          <w:color w:val="0E101A"/>
          <w:lang w:val="en-GB"/>
        </w:rPr>
      </w:pPr>
      <w:r w:rsidRPr="00615772">
        <w:rPr>
          <w:rStyle w:val="Enfasigrassetto"/>
          <w:rFonts w:ascii="Arial" w:hAnsi="Arial" w:cs="Arial"/>
          <w:color w:val="0E101A"/>
          <w:lang w:val="en-GB"/>
        </w:rPr>
        <w:t>Aim:</w:t>
      </w:r>
      <w:r w:rsidRPr="00615772">
        <w:rPr>
          <w:rFonts w:ascii="Arial" w:hAnsi="Arial" w:cs="Arial"/>
          <w:color w:val="0E101A"/>
          <w:lang w:val="en-GB"/>
        </w:rPr>
        <w:t xml:space="preserve"> The present project aims to identify new exercise biomarkers using saliva</w:t>
      </w:r>
      <w:r w:rsidR="008B01E8">
        <w:rPr>
          <w:rFonts w:ascii="Arial" w:hAnsi="Arial" w:cs="Arial"/>
          <w:color w:val="0E101A"/>
          <w:lang w:val="en-GB"/>
        </w:rPr>
        <w:t xml:space="preserve">, </w:t>
      </w:r>
      <w:r w:rsidRPr="00615772">
        <w:rPr>
          <w:rFonts w:ascii="Arial" w:hAnsi="Arial" w:cs="Arial"/>
          <w:color w:val="0E101A"/>
          <w:lang w:val="en-GB"/>
        </w:rPr>
        <w:t>an accessible biological fluid.</w:t>
      </w:r>
    </w:p>
    <w:p w14:paraId="41E6E7EA" w14:textId="0861B458" w:rsidR="00A209A8" w:rsidRPr="00615772" w:rsidRDefault="00A209A8" w:rsidP="00A209A8">
      <w:pPr>
        <w:pStyle w:val="NormaleWeb"/>
        <w:spacing w:before="0" w:beforeAutospacing="0" w:after="0" w:afterAutospacing="0"/>
        <w:jc w:val="both"/>
        <w:rPr>
          <w:rFonts w:ascii="Arial" w:hAnsi="Arial" w:cs="Arial"/>
          <w:color w:val="0E101A"/>
          <w:lang w:val="en-GB"/>
        </w:rPr>
      </w:pPr>
      <w:r w:rsidRPr="00615772">
        <w:rPr>
          <w:rStyle w:val="Enfasigrassetto"/>
          <w:rFonts w:ascii="Arial" w:hAnsi="Arial" w:cs="Arial"/>
          <w:color w:val="0E101A"/>
          <w:lang w:val="en-GB"/>
        </w:rPr>
        <w:t>Methods:</w:t>
      </w:r>
      <w:r w:rsidRPr="00615772">
        <w:rPr>
          <w:rFonts w:ascii="Arial" w:hAnsi="Arial" w:cs="Arial"/>
          <w:color w:val="0E101A"/>
          <w:lang w:val="en-GB"/>
        </w:rPr>
        <w:t xml:space="preserve"> Saliva samples were collected from athletes pre- and post-exercise and then processed by serial ultracentrifugation to isolate EVs. The samples were characterized by NTA analysis to measure EV size distribution and concentration, and BCA assay was performed for total protein content. Finally, Dot Blot assay was employed for the antibody-based detection of the EV markers proteins CD63 and HSP60.</w:t>
      </w:r>
    </w:p>
    <w:p w14:paraId="525BD938" w14:textId="3C07B254" w:rsidR="00A209A8" w:rsidRPr="00615772" w:rsidRDefault="00A209A8" w:rsidP="00A209A8">
      <w:pPr>
        <w:pStyle w:val="NormaleWeb"/>
        <w:spacing w:before="0" w:beforeAutospacing="0" w:after="0" w:afterAutospacing="0"/>
        <w:jc w:val="both"/>
        <w:rPr>
          <w:rFonts w:ascii="Arial" w:hAnsi="Arial" w:cs="Arial"/>
          <w:color w:val="0E101A"/>
          <w:lang w:val="en-GB"/>
        </w:rPr>
      </w:pPr>
      <w:r w:rsidRPr="00615772">
        <w:rPr>
          <w:rStyle w:val="Enfasigrassetto"/>
          <w:rFonts w:ascii="Arial" w:hAnsi="Arial" w:cs="Arial"/>
          <w:color w:val="0E101A"/>
          <w:lang w:val="en-GB"/>
        </w:rPr>
        <w:t xml:space="preserve">Preliminary Results: </w:t>
      </w:r>
      <w:r w:rsidRPr="00615772">
        <w:rPr>
          <w:rFonts w:ascii="Arial" w:hAnsi="Arial" w:cs="Arial"/>
          <w:color w:val="0E101A"/>
          <w:lang w:val="en-GB"/>
        </w:rPr>
        <w:t>NTA analysis showed typical EV size and distribution; interestingly, Dot Blot assay assessed the highest CD63 and HSP60 positivity in most samples at 15 hours post-exercise.</w:t>
      </w:r>
    </w:p>
    <w:p w14:paraId="3B3AA133" w14:textId="60505B06" w:rsidR="007A7A46" w:rsidRPr="00615772" w:rsidRDefault="00A209A8" w:rsidP="00A209A8">
      <w:pPr>
        <w:jc w:val="both"/>
        <w:rPr>
          <w:rFonts w:ascii="Arial" w:hAnsi="Arial" w:cs="Arial"/>
          <w:sz w:val="24"/>
          <w:szCs w:val="24"/>
          <w:lang w:val="en-GB"/>
        </w:rPr>
      </w:pPr>
      <w:r w:rsidRPr="00615772">
        <w:rPr>
          <w:rStyle w:val="Enfasigrassetto"/>
          <w:rFonts w:ascii="Arial" w:hAnsi="Arial" w:cs="Arial"/>
          <w:color w:val="0E101A"/>
          <w:sz w:val="24"/>
          <w:szCs w:val="24"/>
          <w:lang w:val="en-GB"/>
        </w:rPr>
        <w:t>Conclusions:</w:t>
      </w:r>
      <w:r w:rsidRPr="00615772">
        <w:rPr>
          <w:rFonts w:ascii="Arial" w:hAnsi="Arial" w:cs="Arial"/>
          <w:sz w:val="24"/>
          <w:szCs w:val="24"/>
          <w:lang w:val="en-GB"/>
        </w:rPr>
        <w:t> </w:t>
      </w:r>
      <w:r w:rsidR="00D67B75" w:rsidRPr="00D67B75">
        <w:rPr>
          <w:rFonts w:ascii="Arial" w:hAnsi="Arial" w:cs="Arial"/>
          <w:sz w:val="24"/>
          <w:szCs w:val="24"/>
          <w:lang w:val="en-GB"/>
        </w:rPr>
        <w:t>salivary extracellular vesicles</w:t>
      </w:r>
      <w:r w:rsidR="00D67B75">
        <w:rPr>
          <w:rFonts w:ascii="Arial" w:hAnsi="Arial" w:cs="Arial"/>
          <w:sz w:val="24"/>
          <w:szCs w:val="24"/>
          <w:lang w:val="en-GB"/>
        </w:rPr>
        <w:t xml:space="preserve"> </w:t>
      </w:r>
      <w:r w:rsidR="007A7A46">
        <w:rPr>
          <w:rFonts w:ascii="Arial" w:hAnsi="Arial" w:cs="Arial"/>
          <w:sz w:val="24"/>
          <w:szCs w:val="24"/>
          <w:lang w:val="en-GB"/>
        </w:rPr>
        <w:t xml:space="preserve">could represent an innovative source of exercise biomarkers that would allow the development of </w:t>
      </w:r>
      <w:r w:rsidR="007A7A46" w:rsidRPr="00615772">
        <w:rPr>
          <w:rFonts w:ascii="Arial" w:hAnsi="Arial" w:cs="Arial"/>
          <w:sz w:val="24"/>
          <w:szCs w:val="24"/>
          <w:lang w:val="en-GB"/>
        </w:rPr>
        <w:t>standardized exercise protocols</w:t>
      </w:r>
      <w:r w:rsidR="007A7A46">
        <w:rPr>
          <w:rFonts w:ascii="Arial" w:hAnsi="Arial" w:cs="Arial"/>
          <w:sz w:val="24"/>
          <w:szCs w:val="24"/>
          <w:lang w:val="en-GB"/>
        </w:rPr>
        <w:t xml:space="preserve"> based on </w:t>
      </w:r>
      <w:r w:rsidR="00181066">
        <w:rPr>
          <w:rFonts w:ascii="Arial" w:hAnsi="Arial" w:cs="Arial"/>
          <w:sz w:val="24"/>
          <w:szCs w:val="24"/>
          <w:lang w:val="en-GB"/>
        </w:rPr>
        <w:t>individual responses to physical activity.</w:t>
      </w:r>
      <w:r w:rsidR="007A7A46">
        <w:rPr>
          <w:rFonts w:ascii="Arial" w:hAnsi="Arial" w:cs="Arial"/>
          <w:sz w:val="24"/>
          <w:szCs w:val="24"/>
          <w:lang w:val="en-GB"/>
        </w:rPr>
        <w:t xml:space="preserve"> </w:t>
      </w:r>
    </w:p>
    <w:p w14:paraId="50B65C88" w14:textId="5E0E19A6" w:rsidR="009772F4" w:rsidRPr="00615772" w:rsidRDefault="009772F4">
      <w:pPr>
        <w:rPr>
          <w:rFonts w:ascii="Arial" w:hAnsi="Arial" w:cs="Arial"/>
          <w:sz w:val="24"/>
          <w:szCs w:val="24"/>
          <w:lang w:val="en-US"/>
        </w:rPr>
      </w:pPr>
    </w:p>
    <w:sectPr w:rsidR="009772F4" w:rsidRPr="0061577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DengXian Light">
    <w:altName w:val="等线 Light"/>
    <w:panose1 w:val="02010600030101010101"/>
    <w:charset w:val="86"/>
    <w:family w:val="roman"/>
    <w:pitch w:val="default"/>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47047"/>
    <w:multiLevelType w:val="hybridMultilevel"/>
    <w:tmpl w:val="4A8AFEFA"/>
    <w:lvl w:ilvl="0" w:tplc="4050970E">
      <w:start w:val="1"/>
      <w:numFmt w:val="bullet"/>
      <w:lvlText w:val=""/>
      <w:lvlJc w:val="left"/>
      <w:pPr>
        <w:tabs>
          <w:tab w:val="num" w:pos="720"/>
        </w:tabs>
        <w:ind w:left="720" w:hanging="360"/>
      </w:pPr>
      <w:rPr>
        <w:rFonts w:ascii="Wingdings" w:hAnsi="Wingdings" w:hint="default"/>
      </w:rPr>
    </w:lvl>
    <w:lvl w:ilvl="1" w:tplc="87E28198" w:tentative="1">
      <w:start w:val="1"/>
      <w:numFmt w:val="bullet"/>
      <w:lvlText w:val=""/>
      <w:lvlJc w:val="left"/>
      <w:pPr>
        <w:tabs>
          <w:tab w:val="num" w:pos="1440"/>
        </w:tabs>
        <w:ind w:left="1440" w:hanging="360"/>
      </w:pPr>
      <w:rPr>
        <w:rFonts w:ascii="Wingdings" w:hAnsi="Wingdings" w:hint="default"/>
      </w:rPr>
    </w:lvl>
    <w:lvl w:ilvl="2" w:tplc="33829232" w:tentative="1">
      <w:start w:val="1"/>
      <w:numFmt w:val="bullet"/>
      <w:lvlText w:val=""/>
      <w:lvlJc w:val="left"/>
      <w:pPr>
        <w:tabs>
          <w:tab w:val="num" w:pos="2160"/>
        </w:tabs>
        <w:ind w:left="2160" w:hanging="360"/>
      </w:pPr>
      <w:rPr>
        <w:rFonts w:ascii="Wingdings" w:hAnsi="Wingdings" w:hint="default"/>
      </w:rPr>
    </w:lvl>
    <w:lvl w:ilvl="3" w:tplc="0B44797C" w:tentative="1">
      <w:start w:val="1"/>
      <w:numFmt w:val="bullet"/>
      <w:lvlText w:val=""/>
      <w:lvlJc w:val="left"/>
      <w:pPr>
        <w:tabs>
          <w:tab w:val="num" w:pos="2880"/>
        </w:tabs>
        <w:ind w:left="2880" w:hanging="360"/>
      </w:pPr>
      <w:rPr>
        <w:rFonts w:ascii="Wingdings" w:hAnsi="Wingdings" w:hint="default"/>
      </w:rPr>
    </w:lvl>
    <w:lvl w:ilvl="4" w:tplc="04103A54" w:tentative="1">
      <w:start w:val="1"/>
      <w:numFmt w:val="bullet"/>
      <w:lvlText w:val=""/>
      <w:lvlJc w:val="left"/>
      <w:pPr>
        <w:tabs>
          <w:tab w:val="num" w:pos="3600"/>
        </w:tabs>
        <w:ind w:left="3600" w:hanging="360"/>
      </w:pPr>
      <w:rPr>
        <w:rFonts w:ascii="Wingdings" w:hAnsi="Wingdings" w:hint="default"/>
      </w:rPr>
    </w:lvl>
    <w:lvl w:ilvl="5" w:tplc="01A2F85E" w:tentative="1">
      <w:start w:val="1"/>
      <w:numFmt w:val="bullet"/>
      <w:lvlText w:val=""/>
      <w:lvlJc w:val="left"/>
      <w:pPr>
        <w:tabs>
          <w:tab w:val="num" w:pos="4320"/>
        </w:tabs>
        <w:ind w:left="4320" w:hanging="360"/>
      </w:pPr>
      <w:rPr>
        <w:rFonts w:ascii="Wingdings" w:hAnsi="Wingdings" w:hint="default"/>
      </w:rPr>
    </w:lvl>
    <w:lvl w:ilvl="6" w:tplc="E9260F34" w:tentative="1">
      <w:start w:val="1"/>
      <w:numFmt w:val="bullet"/>
      <w:lvlText w:val=""/>
      <w:lvlJc w:val="left"/>
      <w:pPr>
        <w:tabs>
          <w:tab w:val="num" w:pos="5040"/>
        </w:tabs>
        <w:ind w:left="5040" w:hanging="360"/>
      </w:pPr>
      <w:rPr>
        <w:rFonts w:ascii="Wingdings" w:hAnsi="Wingdings" w:hint="default"/>
      </w:rPr>
    </w:lvl>
    <w:lvl w:ilvl="7" w:tplc="8C9A58A6" w:tentative="1">
      <w:start w:val="1"/>
      <w:numFmt w:val="bullet"/>
      <w:lvlText w:val=""/>
      <w:lvlJc w:val="left"/>
      <w:pPr>
        <w:tabs>
          <w:tab w:val="num" w:pos="5760"/>
        </w:tabs>
        <w:ind w:left="5760" w:hanging="360"/>
      </w:pPr>
      <w:rPr>
        <w:rFonts w:ascii="Wingdings" w:hAnsi="Wingdings" w:hint="default"/>
      </w:rPr>
    </w:lvl>
    <w:lvl w:ilvl="8" w:tplc="4ECA0C64"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ECE0B12"/>
    <w:multiLevelType w:val="hybridMultilevel"/>
    <w:tmpl w:val="B1383970"/>
    <w:lvl w:ilvl="0" w:tplc="F75AD8F8">
      <w:start w:val="1"/>
      <w:numFmt w:val="bullet"/>
      <w:lvlText w:val="•"/>
      <w:lvlJc w:val="left"/>
      <w:pPr>
        <w:tabs>
          <w:tab w:val="num" w:pos="720"/>
        </w:tabs>
        <w:ind w:left="720" w:hanging="360"/>
      </w:pPr>
      <w:rPr>
        <w:rFonts w:ascii="Times New Roman" w:hAnsi="Times New Roman" w:hint="default"/>
      </w:rPr>
    </w:lvl>
    <w:lvl w:ilvl="1" w:tplc="4EACA86A" w:tentative="1">
      <w:start w:val="1"/>
      <w:numFmt w:val="bullet"/>
      <w:lvlText w:val="•"/>
      <w:lvlJc w:val="left"/>
      <w:pPr>
        <w:tabs>
          <w:tab w:val="num" w:pos="1440"/>
        </w:tabs>
        <w:ind w:left="1440" w:hanging="360"/>
      </w:pPr>
      <w:rPr>
        <w:rFonts w:ascii="Times New Roman" w:hAnsi="Times New Roman" w:hint="default"/>
      </w:rPr>
    </w:lvl>
    <w:lvl w:ilvl="2" w:tplc="90DE2EB4" w:tentative="1">
      <w:start w:val="1"/>
      <w:numFmt w:val="bullet"/>
      <w:lvlText w:val="•"/>
      <w:lvlJc w:val="left"/>
      <w:pPr>
        <w:tabs>
          <w:tab w:val="num" w:pos="2160"/>
        </w:tabs>
        <w:ind w:left="2160" w:hanging="360"/>
      </w:pPr>
      <w:rPr>
        <w:rFonts w:ascii="Times New Roman" w:hAnsi="Times New Roman" w:hint="default"/>
      </w:rPr>
    </w:lvl>
    <w:lvl w:ilvl="3" w:tplc="3EAE19EA" w:tentative="1">
      <w:start w:val="1"/>
      <w:numFmt w:val="bullet"/>
      <w:lvlText w:val="•"/>
      <w:lvlJc w:val="left"/>
      <w:pPr>
        <w:tabs>
          <w:tab w:val="num" w:pos="2880"/>
        </w:tabs>
        <w:ind w:left="2880" w:hanging="360"/>
      </w:pPr>
      <w:rPr>
        <w:rFonts w:ascii="Times New Roman" w:hAnsi="Times New Roman" w:hint="default"/>
      </w:rPr>
    </w:lvl>
    <w:lvl w:ilvl="4" w:tplc="76BC8BEE" w:tentative="1">
      <w:start w:val="1"/>
      <w:numFmt w:val="bullet"/>
      <w:lvlText w:val="•"/>
      <w:lvlJc w:val="left"/>
      <w:pPr>
        <w:tabs>
          <w:tab w:val="num" w:pos="3600"/>
        </w:tabs>
        <w:ind w:left="3600" w:hanging="360"/>
      </w:pPr>
      <w:rPr>
        <w:rFonts w:ascii="Times New Roman" w:hAnsi="Times New Roman" w:hint="default"/>
      </w:rPr>
    </w:lvl>
    <w:lvl w:ilvl="5" w:tplc="A08242CC" w:tentative="1">
      <w:start w:val="1"/>
      <w:numFmt w:val="bullet"/>
      <w:lvlText w:val="•"/>
      <w:lvlJc w:val="left"/>
      <w:pPr>
        <w:tabs>
          <w:tab w:val="num" w:pos="4320"/>
        </w:tabs>
        <w:ind w:left="4320" w:hanging="360"/>
      </w:pPr>
      <w:rPr>
        <w:rFonts w:ascii="Times New Roman" w:hAnsi="Times New Roman" w:hint="default"/>
      </w:rPr>
    </w:lvl>
    <w:lvl w:ilvl="6" w:tplc="FAB0B3B4" w:tentative="1">
      <w:start w:val="1"/>
      <w:numFmt w:val="bullet"/>
      <w:lvlText w:val="•"/>
      <w:lvlJc w:val="left"/>
      <w:pPr>
        <w:tabs>
          <w:tab w:val="num" w:pos="5040"/>
        </w:tabs>
        <w:ind w:left="5040" w:hanging="360"/>
      </w:pPr>
      <w:rPr>
        <w:rFonts w:ascii="Times New Roman" w:hAnsi="Times New Roman" w:hint="default"/>
      </w:rPr>
    </w:lvl>
    <w:lvl w:ilvl="7" w:tplc="9B6AA724" w:tentative="1">
      <w:start w:val="1"/>
      <w:numFmt w:val="bullet"/>
      <w:lvlText w:val="•"/>
      <w:lvlJc w:val="left"/>
      <w:pPr>
        <w:tabs>
          <w:tab w:val="num" w:pos="5760"/>
        </w:tabs>
        <w:ind w:left="5760" w:hanging="360"/>
      </w:pPr>
      <w:rPr>
        <w:rFonts w:ascii="Times New Roman" w:hAnsi="Times New Roman" w:hint="default"/>
      </w:rPr>
    </w:lvl>
    <w:lvl w:ilvl="8" w:tplc="94E6B878" w:tentative="1">
      <w:start w:val="1"/>
      <w:numFmt w:val="bullet"/>
      <w:lvlText w:val="•"/>
      <w:lvlJc w:val="left"/>
      <w:pPr>
        <w:tabs>
          <w:tab w:val="num" w:pos="6480"/>
        </w:tabs>
        <w:ind w:left="6480" w:hanging="360"/>
      </w:pPr>
      <w:rPr>
        <w:rFonts w:ascii="Times New Roman" w:hAnsi="Times New Roman" w:hint="default"/>
      </w:rPr>
    </w:lvl>
  </w:abstractNum>
  <w:num w:numId="1" w16cid:durableId="1725639719">
    <w:abstractNumId w:val="0"/>
  </w:num>
  <w:num w:numId="2" w16cid:durableId="3804483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1"/>
  <w:proofState w:spelling="clean" w:grammar="clean"/>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525D"/>
    <w:rsid w:val="0000185E"/>
    <w:rsid w:val="00033EB1"/>
    <w:rsid w:val="00081747"/>
    <w:rsid w:val="00115937"/>
    <w:rsid w:val="00134236"/>
    <w:rsid w:val="00181066"/>
    <w:rsid w:val="00190C46"/>
    <w:rsid w:val="001D56FC"/>
    <w:rsid w:val="002A77EC"/>
    <w:rsid w:val="0033645E"/>
    <w:rsid w:val="00337021"/>
    <w:rsid w:val="003555D0"/>
    <w:rsid w:val="003D1004"/>
    <w:rsid w:val="003D35B2"/>
    <w:rsid w:val="00430865"/>
    <w:rsid w:val="00485774"/>
    <w:rsid w:val="004C0DB6"/>
    <w:rsid w:val="00605FEC"/>
    <w:rsid w:val="00615772"/>
    <w:rsid w:val="00631C0F"/>
    <w:rsid w:val="006537AC"/>
    <w:rsid w:val="00681D49"/>
    <w:rsid w:val="00727065"/>
    <w:rsid w:val="007A7A46"/>
    <w:rsid w:val="007D6599"/>
    <w:rsid w:val="007E797A"/>
    <w:rsid w:val="008068EC"/>
    <w:rsid w:val="00810726"/>
    <w:rsid w:val="008B01E8"/>
    <w:rsid w:val="008E7F2C"/>
    <w:rsid w:val="009578C6"/>
    <w:rsid w:val="0096525D"/>
    <w:rsid w:val="00975F3E"/>
    <w:rsid w:val="009772F4"/>
    <w:rsid w:val="009F0B5A"/>
    <w:rsid w:val="00A01694"/>
    <w:rsid w:val="00A209A8"/>
    <w:rsid w:val="00A44F13"/>
    <w:rsid w:val="00A75FF7"/>
    <w:rsid w:val="00BE7C00"/>
    <w:rsid w:val="00BE7C78"/>
    <w:rsid w:val="00BF2844"/>
    <w:rsid w:val="00C277F6"/>
    <w:rsid w:val="00C322FD"/>
    <w:rsid w:val="00CD701A"/>
    <w:rsid w:val="00D62CDD"/>
    <w:rsid w:val="00D67B75"/>
    <w:rsid w:val="00DD457A"/>
    <w:rsid w:val="00E313ED"/>
    <w:rsid w:val="00E43D5D"/>
    <w:rsid w:val="00E5578F"/>
    <w:rsid w:val="00E66407"/>
    <w:rsid w:val="00EB4933"/>
    <w:rsid w:val="00EC74CC"/>
    <w:rsid w:val="00ED58AE"/>
    <w:rsid w:val="00F35EB1"/>
    <w:rsid w:val="00F42C4C"/>
    <w:rsid w:val="00F5762E"/>
    <w:rsid w:val="00FC0ECD"/>
    <w:rsid w:val="00FF199E"/>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1E36BC"/>
  <w15:chartTrackingRefBased/>
  <w15:docId w15:val="{E36F0DCF-488C-4ECB-B426-13D042408C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SimSun"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9772F4"/>
    <w:pPr>
      <w:spacing w:after="0" w:line="240" w:lineRule="auto"/>
      <w:ind w:left="720"/>
      <w:contextualSpacing/>
    </w:pPr>
    <w:rPr>
      <w:rFonts w:ascii="Times New Roman" w:eastAsia="Times New Roman" w:hAnsi="Times New Roman" w:cs="Times New Roman"/>
      <w:kern w:val="0"/>
      <w:sz w:val="24"/>
      <w:szCs w:val="24"/>
      <w:lang w:eastAsia="it-IT"/>
      <w14:ligatures w14:val="none"/>
    </w:rPr>
  </w:style>
  <w:style w:type="paragraph" w:styleId="NormaleWeb">
    <w:name w:val="Normal (Web)"/>
    <w:basedOn w:val="Normale"/>
    <w:uiPriority w:val="99"/>
    <w:semiHidden/>
    <w:unhideWhenUsed/>
    <w:rsid w:val="00A209A8"/>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styleId="Enfasigrassetto">
    <w:name w:val="Strong"/>
    <w:basedOn w:val="Carpredefinitoparagrafo"/>
    <w:uiPriority w:val="22"/>
    <w:qFormat/>
    <w:rsid w:val="00A209A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434844">
      <w:bodyDiv w:val="1"/>
      <w:marLeft w:val="0"/>
      <w:marRight w:val="0"/>
      <w:marTop w:val="0"/>
      <w:marBottom w:val="0"/>
      <w:divBdr>
        <w:top w:val="none" w:sz="0" w:space="0" w:color="auto"/>
        <w:left w:val="none" w:sz="0" w:space="0" w:color="auto"/>
        <w:bottom w:val="none" w:sz="0" w:space="0" w:color="auto"/>
        <w:right w:val="none" w:sz="0" w:space="0" w:color="auto"/>
      </w:divBdr>
    </w:div>
    <w:div w:id="1281374928">
      <w:bodyDiv w:val="1"/>
      <w:marLeft w:val="0"/>
      <w:marRight w:val="0"/>
      <w:marTop w:val="0"/>
      <w:marBottom w:val="0"/>
      <w:divBdr>
        <w:top w:val="none" w:sz="0" w:space="0" w:color="auto"/>
        <w:left w:val="none" w:sz="0" w:space="0" w:color="auto"/>
        <w:bottom w:val="none" w:sz="0" w:space="0" w:color="auto"/>
        <w:right w:val="none" w:sz="0" w:space="0" w:color="auto"/>
      </w:divBdr>
      <w:divsChild>
        <w:div w:id="1107582084">
          <w:marLeft w:val="547"/>
          <w:marRight w:val="0"/>
          <w:marTop w:val="0"/>
          <w:marBottom w:val="0"/>
          <w:divBdr>
            <w:top w:val="none" w:sz="0" w:space="0" w:color="auto"/>
            <w:left w:val="none" w:sz="0" w:space="0" w:color="auto"/>
            <w:bottom w:val="none" w:sz="0" w:space="0" w:color="auto"/>
            <w:right w:val="none" w:sz="0" w:space="0" w:color="auto"/>
          </w:divBdr>
        </w:div>
      </w:divsChild>
    </w:div>
    <w:div w:id="1289893911">
      <w:bodyDiv w:val="1"/>
      <w:marLeft w:val="0"/>
      <w:marRight w:val="0"/>
      <w:marTop w:val="0"/>
      <w:marBottom w:val="0"/>
      <w:divBdr>
        <w:top w:val="none" w:sz="0" w:space="0" w:color="auto"/>
        <w:left w:val="none" w:sz="0" w:space="0" w:color="auto"/>
        <w:bottom w:val="none" w:sz="0" w:space="0" w:color="auto"/>
        <w:right w:val="none" w:sz="0" w:space="0" w:color="auto"/>
      </w:divBdr>
    </w:div>
    <w:div w:id="1520394606">
      <w:bodyDiv w:val="1"/>
      <w:marLeft w:val="0"/>
      <w:marRight w:val="0"/>
      <w:marTop w:val="0"/>
      <w:marBottom w:val="0"/>
      <w:divBdr>
        <w:top w:val="none" w:sz="0" w:space="0" w:color="auto"/>
        <w:left w:val="none" w:sz="0" w:space="0" w:color="auto"/>
        <w:bottom w:val="none" w:sz="0" w:space="0" w:color="auto"/>
        <w:right w:val="none" w:sz="0" w:space="0" w:color="auto"/>
      </w:divBdr>
    </w:div>
    <w:div w:id="1688020995">
      <w:bodyDiv w:val="1"/>
      <w:marLeft w:val="0"/>
      <w:marRight w:val="0"/>
      <w:marTop w:val="0"/>
      <w:marBottom w:val="0"/>
      <w:divBdr>
        <w:top w:val="none" w:sz="0" w:space="0" w:color="auto"/>
        <w:left w:val="none" w:sz="0" w:space="0" w:color="auto"/>
        <w:bottom w:val="none" w:sz="0" w:space="0" w:color="auto"/>
        <w:right w:val="none" w:sz="0" w:space="0" w:color="auto"/>
      </w:divBdr>
      <w:divsChild>
        <w:div w:id="410005523">
          <w:marLeft w:val="360"/>
          <w:marRight w:val="0"/>
          <w:marTop w:val="1"/>
          <w:marBottom w:val="160"/>
          <w:divBdr>
            <w:top w:val="none" w:sz="0" w:space="0" w:color="auto"/>
            <w:left w:val="none" w:sz="0" w:space="0" w:color="auto"/>
            <w:bottom w:val="none" w:sz="0" w:space="0" w:color="auto"/>
            <w:right w:val="none" w:sz="0" w:space="0" w:color="auto"/>
          </w:divBdr>
        </w:div>
      </w:divsChild>
    </w:div>
    <w:div w:id="1768647041">
      <w:bodyDiv w:val="1"/>
      <w:marLeft w:val="0"/>
      <w:marRight w:val="0"/>
      <w:marTop w:val="0"/>
      <w:marBottom w:val="0"/>
      <w:divBdr>
        <w:top w:val="none" w:sz="0" w:space="0" w:color="auto"/>
        <w:left w:val="none" w:sz="0" w:space="0" w:color="auto"/>
        <w:bottom w:val="none" w:sz="0" w:space="0" w:color="auto"/>
        <w:right w:val="none" w:sz="0" w:space="0" w:color="auto"/>
      </w:divBdr>
      <w:divsChild>
        <w:div w:id="1863929847">
          <w:marLeft w:val="547"/>
          <w:marRight w:val="0"/>
          <w:marTop w:val="0"/>
          <w:marBottom w:val="0"/>
          <w:divBdr>
            <w:top w:val="none" w:sz="0" w:space="0" w:color="auto"/>
            <w:left w:val="none" w:sz="0" w:space="0" w:color="auto"/>
            <w:bottom w:val="none" w:sz="0" w:space="0" w:color="auto"/>
            <w:right w:val="none" w:sz="0" w:space="0" w:color="auto"/>
          </w:divBdr>
        </w:div>
      </w:divsChild>
    </w:div>
    <w:div w:id="1987541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69</TotalTime>
  <Pages>1</Pages>
  <Words>237</Words>
  <Characters>1351</Characters>
  <Application>Microsoft Office Word</Application>
  <DocSecurity>0</DocSecurity>
  <Lines>11</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Fondi</dc:creator>
  <cp:keywords/>
  <dc:description/>
  <cp:lastModifiedBy>Microsoft Office User</cp:lastModifiedBy>
  <cp:revision>6</cp:revision>
  <dcterms:created xsi:type="dcterms:W3CDTF">2023-05-19T16:12:00Z</dcterms:created>
  <dcterms:modified xsi:type="dcterms:W3CDTF">2023-05-19T20:26:00Z</dcterms:modified>
</cp:coreProperties>
</file>